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5B3F" w14:textId="263EB5F5" w:rsidR="008F2C37" w:rsidRDefault="008F2C37" w:rsidP="00292E90">
      <w:pPr>
        <w:spacing w:line="240" w:lineRule="auto"/>
        <w:jc w:val="both"/>
        <w:rPr>
          <w:szCs w:val="24"/>
        </w:rPr>
      </w:pPr>
      <w:r>
        <w:rPr>
          <w:szCs w:val="24"/>
        </w:rPr>
        <w:t>Appendix 1</w:t>
      </w:r>
      <w:r w:rsidR="00652568">
        <w:rPr>
          <w:szCs w:val="24"/>
        </w:rPr>
        <w:t>.</w:t>
      </w:r>
    </w:p>
    <w:p w14:paraId="2F4364AB" w14:textId="3AA4476F" w:rsidR="005D0268" w:rsidRDefault="005D0268" w:rsidP="00191EF8">
      <w:pPr>
        <w:pStyle w:val="Heading2"/>
      </w:pPr>
      <w:r>
        <w:t xml:space="preserve">Assessment of Risk </w:t>
      </w:r>
      <w:r w:rsidRPr="00191EF8">
        <w:t>Tool</w:t>
      </w:r>
      <w:r w:rsidR="00000FA7">
        <w:t xml:space="preserve"> (ART) Flags,</w:t>
      </w:r>
      <w:r w:rsidR="00976652">
        <w:t>[23]</w:t>
      </w:r>
      <w:r w:rsidR="00191EF8">
        <w:t>.</w:t>
      </w:r>
    </w:p>
    <w:tbl>
      <w:tblPr>
        <w:tblW w:w="890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56"/>
        <w:gridCol w:w="2396"/>
        <w:gridCol w:w="5299"/>
        <w:gridCol w:w="757"/>
      </w:tblGrid>
      <w:tr w:rsidR="008F673E" w:rsidRPr="00603EA9" w14:paraId="1558C69E" w14:textId="77777777" w:rsidTr="008F673E">
        <w:trPr>
          <w:trHeight w:val="336"/>
        </w:trPr>
        <w:tc>
          <w:tcPr>
            <w:tcW w:w="318" w:type="dxa"/>
          </w:tcPr>
          <w:p w14:paraId="4779B35C" w14:textId="77777777" w:rsidR="008F673E" w:rsidRPr="00640057" w:rsidRDefault="008F673E" w:rsidP="00F774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2428" w:type="dxa"/>
            <w:shd w:val="clear" w:color="auto" w:fill="auto"/>
          </w:tcPr>
          <w:p w14:paraId="22E2B5F4" w14:textId="77777777" w:rsidR="008F673E" w:rsidRPr="00640057" w:rsidRDefault="008F673E" w:rsidP="00F774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400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Flag</w:t>
            </w:r>
          </w:p>
        </w:tc>
        <w:tc>
          <w:tcPr>
            <w:tcW w:w="5402" w:type="dxa"/>
            <w:shd w:val="clear" w:color="auto" w:fill="FFFFFF"/>
          </w:tcPr>
          <w:p w14:paraId="6E6B09D6" w14:textId="77777777" w:rsidR="008F673E" w:rsidRPr="00640057" w:rsidRDefault="008F673E" w:rsidP="009B637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6400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760" w:type="dxa"/>
            <w:shd w:val="clear" w:color="auto" w:fill="FFFFFF"/>
          </w:tcPr>
          <w:p w14:paraId="1B65396D" w14:textId="77777777" w:rsidR="008F673E" w:rsidRPr="00640057" w:rsidRDefault="008F673E" w:rsidP="009B637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6400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Score</w:t>
            </w:r>
          </w:p>
        </w:tc>
      </w:tr>
      <w:tr w:rsidR="008F673E" w:rsidRPr="00603EA9" w14:paraId="0D8DABEF" w14:textId="77777777" w:rsidTr="008F673E">
        <w:trPr>
          <w:trHeight w:val="336"/>
        </w:trPr>
        <w:tc>
          <w:tcPr>
            <w:tcW w:w="318" w:type="dxa"/>
          </w:tcPr>
          <w:p w14:paraId="09C861D6" w14:textId="77777777" w:rsidR="008F673E" w:rsidRDefault="008F673E" w:rsidP="00F7745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14:paraId="675DF853" w14:textId="3C56BB97" w:rsidR="008F673E" w:rsidRPr="00603EA9" w:rsidRDefault="008F673E" w:rsidP="00F7745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&gt;</w:t>
            </w: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8 Regular Adm</w:t>
            </w:r>
            <w:r w:rsidR="006C2C8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ission</w:t>
            </w:r>
            <w:r w:rsidR="00EE54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Meds</w:t>
            </w:r>
          </w:p>
        </w:tc>
        <w:tc>
          <w:tcPr>
            <w:tcW w:w="5402" w:type="dxa"/>
            <w:shd w:val="clear" w:color="auto" w:fill="FFFFFF"/>
          </w:tcPr>
          <w:p w14:paraId="1B0C8117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&gt;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8 regular medications as identified via the medication reconciliation process within the previous 12 months </w:t>
            </w:r>
          </w:p>
        </w:tc>
        <w:tc>
          <w:tcPr>
            <w:tcW w:w="760" w:type="dxa"/>
            <w:shd w:val="clear" w:color="auto" w:fill="FFFFFF"/>
          </w:tcPr>
          <w:p w14:paraId="49C10946" w14:textId="77777777" w:rsidR="008F673E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8F673E" w:rsidRPr="00603EA9" w14:paraId="3F9DCC47" w14:textId="77777777" w:rsidTr="008F673E">
        <w:trPr>
          <w:trHeight w:val="336"/>
        </w:trPr>
        <w:tc>
          <w:tcPr>
            <w:tcW w:w="318" w:type="dxa"/>
          </w:tcPr>
          <w:p w14:paraId="0F0999B6" w14:textId="77777777" w:rsidR="008F673E" w:rsidRPr="00603EA9" w:rsidRDefault="008F673E" w:rsidP="00F7745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14:paraId="7E5AA332" w14:textId="77777777" w:rsidR="008F673E" w:rsidRPr="00603EA9" w:rsidRDefault="008F673E" w:rsidP="00F7745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Age &gt;65PI M</w:t>
            </w:r>
          </w:p>
        </w:tc>
        <w:tc>
          <w:tcPr>
            <w:tcW w:w="5402" w:type="dxa"/>
            <w:shd w:val="clear" w:color="auto" w:fill="auto"/>
          </w:tcPr>
          <w:p w14:paraId="7633AB53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Maori and Pacific Island patients &gt;65yrs</w:t>
            </w:r>
          </w:p>
        </w:tc>
        <w:tc>
          <w:tcPr>
            <w:tcW w:w="760" w:type="dxa"/>
          </w:tcPr>
          <w:p w14:paraId="37407A3A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8F673E" w:rsidRPr="00603EA9" w14:paraId="376C8F7C" w14:textId="77777777" w:rsidTr="008F673E">
        <w:trPr>
          <w:trHeight w:val="336"/>
        </w:trPr>
        <w:tc>
          <w:tcPr>
            <w:tcW w:w="318" w:type="dxa"/>
          </w:tcPr>
          <w:p w14:paraId="23B28507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14:paraId="12A63117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Age &gt;75</w:t>
            </w:r>
          </w:p>
        </w:tc>
        <w:tc>
          <w:tcPr>
            <w:tcW w:w="5402" w:type="dxa"/>
            <w:shd w:val="clear" w:color="auto" w:fill="auto"/>
          </w:tcPr>
          <w:p w14:paraId="0CB60724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Admitted non-Maori and Pacific Island patients &gt;75yrs </w:t>
            </w:r>
          </w:p>
        </w:tc>
        <w:tc>
          <w:tcPr>
            <w:tcW w:w="760" w:type="dxa"/>
          </w:tcPr>
          <w:p w14:paraId="3E3CA401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8F673E" w:rsidRPr="00603EA9" w14:paraId="07E7C1EA" w14:textId="77777777" w:rsidTr="008F673E">
        <w:trPr>
          <w:trHeight w:val="336"/>
        </w:trPr>
        <w:tc>
          <w:tcPr>
            <w:tcW w:w="318" w:type="dxa"/>
          </w:tcPr>
          <w:p w14:paraId="5AC948B5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14:paraId="76F73E9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Anticoagulant</w:t>
            </w:r>
          </w:p>
        </w:tc>
        <w:tc>
          <w:tcPr>
            <w:tcW w:w="5402" w:type="dxa"/>
            <w:shd w:val="clear" w:color="auto" w:fill="auto"/>
          </w:tcPr>
          <w:p w14:paraId="062903D8" w14:textId="1A0194FD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one or more 'Anticoagulant' medications removed from Pyxis</w:t>
            </w:r>
            <w:r w:rsidR="00EF1A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during their current admission </w:t>
            </w:r>
          </w:p>
        </w:tc>
        <w:tc>
          <w:tcPr>
            <w:tcW w:w="760" w:type="dxa"/>
          </w:tcPr>
          <w:p w14:paraId="6E8538FA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F673E" w:rsidRPr="00603EA9" w14:paraId="292B48EF" w14:textId="77777777" w:rsidTr="008F673E">
        <w:trPr>
          <w:trHeight w:val="336"/>
        </w:trPr>
        <w:tc>
          <w:tcPr>
            <w:tcW w:w="318" w:type="dxa"/>
          </w:tcPr>
          <w:p w14:paraId="6106E17B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14:paraId="600523B8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Antiepileptic</w:t>
            </w:r>
          </w:p>
        </w:tc>
        <w:tc>
          <w:tcPr>
            <w:tcW w:w="5402" w:type="dxa"/>
            <w:shd w:val="clear" w:color="auto" w:fill="auto"/>
          </w:tcPr>
          <w:p w14:paraId="4038233C" w14:textId="118F174D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one or more ‘Antiepileptic’ medications removed from Pyxis</w:t>
            </w:r>
            <w:r w:rsidR="00EF1A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during their current admission </w:t>
            </w:r>
          </w:p>
        </w:tc>
        <w:tc>
          <w:tcPr>
            <w:tcW w:w="760" w:type="dxa"/>
          </w:tcPr>
          <w:p w14:paraId="44AC830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F673E" w:rsidRPr="00603EA9" w14:paraId="7BF6781C" w14:textId="77777777" w:rsidTr="008F673E">
        <w:trPr>
          <w:trHeight w:val="336"/>
        </w:trPr>
        <w:tc>
          <w:tcPr>
            <w:tcW w:w="318" w:type="dxa"/>
          </w:tcPr>
          <w:p w14:paraId="7C99C4CC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14:paraId="321FCD5B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CCM CHF</w:t>
            </w:r>
          </w:p>
        </w:tc>
        <w:tc>
          <w:tcPr>
            <w:tcW w:w="5402" w:type="dxa"/>
            <w:shd w:val="clear" w:color="auto" w:fill="auto"/>
          </w:tcPr>
          <w:p w14:paraId="0915F0A8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Admitted patients actively enrolled or previously enrolled in the Congestive Heart Failure (CHF) Chronic Care Management (CCM) programme within the past 12 months </w:t>
            </w:r>
          </w:p>
        </w:tc>
        <w:tc>
          <w:tcPr>
            <w:tcW w:w="760" w:type="dxa"/>
          </w:tcPr>
          <w:p w14:paraId="29BE1348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8F673E" w:rsidRPr="00603EA9" w14:paraId="28EEAB10" w14:textId="77777777" w:rsidTr="008F673E">
        <w:trPr>
          <w:trHeight w:val="336"/>
        </w:trPr>
        <w:tc>
          <w:tcPr>
            <w:tcW w:w="318" w:type="dxa"/>
          </w:tcPr>
          <w:p w14:paraId="396ACAE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28" w:type="dxa"/>
            <w:shd w:val="clear" w:color="auto" w:fill="auto"/>
          </w:tcPr>
          <w:p w14:paraId="50F6B5CA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CCM COPD</w:t>
            </w:r>
          </w:p>
        </w:tc>
        <w:tc>
          <w:tcPr>
            <w:tcW w:w="5402" w:type="dxa"/>
            <w:shd w:val="clear" w:color="auto" w:fill="auto"/>
          </w:tcPr>
          <w:p w14:paraId="23A8F73A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Admitted patients actively enrolled or previously enrolled in the Chronic Obstructive Pulmonary Disease (COPD) Chronic Care Management (CCM) programme within the past 12 months </w:t>
            </w:r>
          </w:p>
        </w:tc>
        <w:tc>
          <w:tcPr>
            <w:tcW w:w="760" w:type="dxa"/>
          </w:tcPr>
          <w:p w14:paraId="242134AE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8F673E" w:rsidRPr="00603EA9" w14:paraId="2548887A" w14:textId="77777777" w:rsidTr="008F673E">
        <w:trPr>
          <w:trHeight w:val="336"/>
        </w:trPr>
        <w:tc>
          <w:tcPr>
            <w:tcW w:w="318" w:type="dxa"/>
          </w:tcPr>
          <w:p w14:paraId="672552F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14:paraId="1DEC9284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CCM CVD</w:t>
            </w:r>
          </w:p>
        </w:tc>
        <w:tc>
          <w:tcPr>
            <w:tcW w:w="5402" w:type="dxa"/>
            <w:shd w:val="clear" w:color="auto" w:fill="auto"/>
          </w:tcPr>
          <w:p w14:paraId="17BDA20E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actively enrolled or previously enrolled in the Cardiovascular Disease (CVD) Chronic Care Management (CCM)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programme within the past 12 months </w:t>
            </w:r>
          </w:p>
        </w:tc>
        <w:tc>
          <w:tcPr>
            <w:tcW w:w="760" w:type="dxa"/>
          </w:tcPr>
          <w:p w14:paraId="60FEAD3B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8F673E" w:rsidRPr="00603EA9" w14:paraId="1F0D1A0F" w14:textId="77777777" w:rsidTr="008F673E">
        <w:trPr>
          <w:trHeight w:val="336"/>
        </w:trPr>
        <w:tc>
          <w:tcPr>
            <w:tcW w:w="318" w:type="dxa"/>
          </w:tcPr>
          <w:p w14:paraId="6AA87434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428" w:type="dxa"/>
            <w:shd w:val="clear" w:color="auto" w:fill="auto"/>
          </w:tcPr>
          <w:p w14:paraId="5B7EDE75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CCM Diabetes</w:t>
            </w:r>
          </w:p>
        </w:tc>
        <w:tc>
          <w:tcPr>
            <w:tcW w:w="5402" w:type="dxa"/>
            <w:shd w:val="clear" w:color="auto" w:fill="auto"/>
          </w:tcPr>
          <w:p w14:paraId="2D291A1A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Admitted patients actively enrolled or previously enrolled in the Diabetes Chronic Care Management (CCM) programme within the past 12 months </w:t>
            </w:r>
          </w:p>
        </w:tc>
        <w:tc>
          <w:tcPr>
            <w:tcW w:w="760" w:type="dxa"/>
          </w:tcPr>
          <w:p w14:paraId="1CDB2AFE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8F673E" w:rsidRPr="00603EA9" w14:paraId="79641B66" w14:textId="77777777" w:rsidTr="008F673E">
        <w:trPr>
          <w:trHeight w:val="336"/>
        </w:trPr>
        <w:tc>
          <w:tcPr>
            <w:tcW w:w="318" w:type="dxa"/>
          </w:tcPr>
          <w:p w14:paraId="54AD6560" w14:textId="6BC772D8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14:paraId="1B16E8FF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Cardiovascular</w:t>
            </w:r>
          </w:p>
        </w:tc>
        <w:tc>
          <w:tcPr>
            <w:tcW w:w="5402" w:type="dxa"/>
            <w:shd w:val="clear" w:color="auto" w:fill="auto"/>
          </w:tcPr>
          <w:p w14:paraId="58F53F4C" w14:textId="5DCD63EC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&gt;3 'Cardiovascular' medications removed from Pyxis</w:t>
            </w:r>
            <w:r w:rsidR="00EF1A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during their current admission </w:t>
            </w:r>
          </w:p>
        </w:tc>
        <w:tc>
          <w:tcPr>
            <w:tcW w:w="760" w:type="dxa"/>
          </w:tcPr>
          <w:p w14:paraId="538A3D72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F673E" w:rsidRPr="00603EA9" w14:paraId="1ECB2DB7" w14:textId="77777777" w:rsidTr="008F673E">
        <w:trPr>
          <w:trHeight w:val="336"/>
        </w:trPr>
        <w:tc>
          <w:tcPr>
            <w:tcW w:w="318" w:type="dxa"/>
          </w:tcPr>
          <w:p w14:paraId="107C01DB" w14:textId="74E9F20B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11</w:t>
            </w:r>
          </w:p>
        </w:tc>
        <w:tc>
          <w:tcPr>
            <w:tcW w:w="2428" w:type="dxa"/>
            <w:shd w:val="clear" w:color="auto" w:fill="auto"/>
          </w:tcPr>
          <w:p w14:paraId="005FF452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Diabetic Meds</w:t>
            </w:r>
          </w:p>
        </w:tc>
        <w:tc>
          <w:tcPr>
            <w:tcW w:w="5402" w:type="dxa"/>
            <w:shd w:val="clear" w:color="auto" w:fill="auto"/>
          </w:tcPr>
          <w:p w14:paraId="7C2CA562" w14:textId="200D5305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one or more ‘Diabetic’ medications removed from Pyxis</w:t>
            </w:r>
            <w:r w:rsidR="00EF1A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during their current admission </w:t>
            </w:r>
          </w:p>
        </w:tc>
        <w:tc>
          <w:tcPr>
            <w:tcW w:w="760" w:type="dxa"/>
          </w:tcPr>
          <w:p w14:paraId="57D19843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F673E" w:rsidRPr="00603EA9" w14:paraId="791A6596" w14:textId="77777777" w:rsidTr="008F673E">
        <w:trPr>
          <w:trHeight w:val="521"/>
        </w:trPr>
        <w:tc>
          <w:tcPr>
            <w:tcW w:w="318" w:type="dxa"/>
          </w:tcPr>
          <w:p w14:paraId="73A5841E" w14:textId="658578CE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428" w:type="dxa"/>
            <w:shd w:val="clear" w:color="auto" w:fill="auto"/>
          </w:tcPr>
          <w:p w14:paraId="2FCA6D68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English Difficulty</w:t>
            </w:r>
          </w:p>
        </w:tc>
        <w:tc>
          <w:tcPr>
            <w:tcW w:w="5402" w:type="dxa"/>
            <w:shd w:val="clear" w:color="auto" w:fill="auto"/>
          </w:tcPr>
          <w:p w14:paraId="03D4080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Admitted patients identified via the medication reconciliation process with poor English comprehension difficulties OR English as a second language (within the previous 12 months) </w:t>
            </w:r>
          </w:p>
        </w:tc>
        <w:tc>
          <w:tcPr>
            <w:tcW w:w="760" w:type="dxa"/>
          </w:tcPr>
          <w:p w14:paraId="78448E77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F673E" w:rsidRPr="00603EA9" w14:paraId="10EDB3A4" w14:textId="77777777" w:rsidTr="008F673E">
        <w:trPr>
          <w:trHeight w:val="336"/>
        </w:trPr>
        <w:tc>
          <w:tcPr>
            <w:tcW w:w="318" w:type="dxa"/>
          </w:tcPr>
          <w:p w14:paraId="04B81D2A" w14:textId="25647730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428" w:type="dxa"/>
            <w:shd w:val="clear" w:color="auto" w:fill="auto"/>
          </w:tcPr>
          <w:p w14:paraId="26437680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Freq Presenter</w:t>
            </w:r>
          </w:p>
        </w:tc>
        <w:tc>
          <w:tcPr>
            <w:tcW w:w="5402" w:type="dxa"/>
            <w:shd w:val="clear" w:color="auto" w:fill="auto"/>
          </w:tcPr>
          <w:p w14:paraId="0525E6B8" w14:textId="2F7EC93D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&gt;</w:t>
            </w:r>
            <w:r w:rsidR="00EF1A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4 Emergency Care 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presentations/inpatient admissions in the previous 12 months </w:t>
            </w:r>
          </w:p>
        </w:tc>
        <w:tc>
          <w:tcPr>
            <w:tcW w:w="760" w:type="dxa"/>
          </w:tcPr>
          <w:p w14:paraId="1A10C8A2" w14:textId="77777777" w:rsidR="008F673E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8F673E" w:rsidRPr="00603EA9" w14:paraId="09EF4C29" w14:textId="77777777" w:rsidTr="008F673E">
        <w:trPr>
          <w:trHeight w:val="336"/>
        </w:trPr>
        <w:tc>
          <w:tcPr>
            <w:tcW w:w="318" w:type="dxa"/>
          </w:tcPr>
          <w:p w14:paraId="0A114451" w14:textId="0FC77CA3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428" w:type="dxa"/>
            <w:shd w:val="clear" w:color="auto" w:fill="auto"/>
          </w:tcPr>
          <w:p w14:paraId="53769192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High Risk Specialty</w:t>
            </w:r>
          </w:p>
        </w:tc>
        <w:tc>
          <w:tcPr>
            <w:tcW w:w="5402" w:type="dxa"/>
            <w:shd w:val="clear" w:color="auto" w:fill="auto"/>
          </w:tcPr>
          <w:p w14:paraId="06BB6615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Admitted patients under the care of Haematology or Renal services </w:t>
            </w:r>
          </w:p>
        </w:tc>
        <w:tc>
          <w:tcPr>
            <w:tcW w:w="760" w:type="dxa"/>
          </w:tcPr>
          <w:p w14:paraId="5E47F783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F673E" w:rsidRPr="00603EA9" w14:paraId="2C6BAB74" w14:textId="77777777" w:rsidTr="008F673E">
        <w:trPr>
          <w:trHeight w:val="336"/>
        </w:trPr>
        <w:tc>
          <w:tcPr>
            <w:tcW w:w="318" w:type="dxa"/>
          </w:tcPr>
          <w:p w14:paraId="3C498621" w14:textId="17CE6B20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14:paraId="6BAB7388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High Risk Transfer</w:t>
            </w:r>
          </w:p>
        </w:tc>
        <w:tc>
          <w:tcPr>
            <w:tcW w:w="5402" w:type="dxa"/>
            <w:shd w:val="clear" w:color="auto" w:fill="auto"/>
          </w:tcPr>
          <w:p w14:paraId="2B7C168D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Admitted patients transferred from Intensive Care Unit (ICU), High Dependency Unit (HDU) or Coronary Care Unit (CCU) to another ward location within the previous 48 hours </w:t>
            </w:r>
          </w:p>
        </w:tc>
        <w:tc>
          <w:tcPr>
            <w:tcW w:w="760" w:type="dxa"/>
          </w:tcPr>
          <w:p w14:paraId="5279F9A9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F673E" w:rsidRPr="00603EA9" w14:paraId="520F5C0B" w14:textId="77777777" w:rsidTr="008F673E">
        <w:trPr>
          <w:trHeight w:val="336"/>
        </w:trPr>
        <w:tc>
          <w:tcPr>
            <w:tcW w:w="318" w:type="dxa"/>
          </w:tcPr>
          <w:p w14:paraId="399D3990" w14:textId="0A7F73F8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2428" w:type="dxa"/>
            <w:shd w:val="clear" w:color="auto" w:fill="auto"/>
          </w:tcPr>
          <w:p w14:paraId="5FB61A88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Mental Health</w:t>
            </w:r>
          </w:p>
        </w:tc>
        <w:tc>
          <w:tcPr>
            <w:tcW w:w="5402" w:type="dxa"/>
            <w:shd w:val="clear" w:color="auto" w:fill="auto"/>
          </w:tcPr>
          <w:p w14:paraId="6824CFB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a mental health history within the previous 12 months.</w:t>
            </w:r>
          </w:p>
        </w:tc>
        <w:tc>
          <w:tcPr>
            <w:tcW w:w="760" w:type="dxa"/>
          </w:tcPr>
          <w:p w14:paraId="67416011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8F673E" w:rsidRPr="00603EA9" w14:paraId="4D139B92" w14:textId="77777777" w:rsidTr="008F673E">
        <w:trPr>
          <w:trHeight w:val="336"/>
        </w:trPr>
        <w:tc>
          <w:tcPr>
            <w:tcW w:w="318" w:type="dxa"/>
          </w:tcPr>
          <w:p w14:paraId="324AF31B" w14:textId="546CF4CA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428" w:type="dxa"/>
            <w:shd w:val="clear" w:color="auto" w:fill="auto"/>
          </w:tcPr>
          <w:p w14:paraId="005D15E0" w14:textId="4C933192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Multi</w:t>
            </w:r>
            <w:r w:rsidR="00EE54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ple</w:t>
            </w: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Out P</w:t>
            </w:r>
            <w:r w:rsidR="00EE54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atien</w:t>
            </w: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  <w:r w:rsidR="00EF1A2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visits</w:t>
            </w:r>
          </w:p>
        </w:tc>
        <w:tc>
          <w:tcPr>
            <w:tcW w:w="5402" w:type="dxa"/>
            <w:shd w:val="clear" w:color="auto" w:fill="auto"/>
          </w:tcPr>
          <w:p w14:paraId="0E1CD54C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&gt;2 outpatient visits to different specialities in the previous 6 months</w:t>
            </w:r>
          </w:p>
        </w:tc>
        <w:tc>
          <w:tcPr>
            <w:tcW w:w="760" w:type="dxa"/>
          </w:tcPr>
          <w:p w14:paraId="032F6A74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8F673E" w:rsidRPr="00603EA9" w14:paraId="07A4E5E6" w14:textId="77777777" w:rsidTr="008F673E">
        <w:trPr>
          <w:trHeight w:val="336"/>
        </w:trPr>
        <w:tc>
          <w:tcPr>
            <w:tcW w:w="318" w:type="dxa"/>
          </w:tcPr>
          <w:p w14:paraId="0443FB41" w14:textId="34A1165D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428" w:type="dxa"/>
            <w:shd w:val="clear" w:color="auto" w:fill="auto"/>
          </w:tcPr>
          <w:p w14:paraId="3F0AA6AF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Opioid Meds</w:t>
            </w:r>
          </w:p>
        </w:tc>
        <w:tc>
          <w:tcPr>
            <w:tcW w:w="5402" w:type="dxa"/>
            <w:shd w:val="clear" w:color="auto" w:fill="auto"/>
          </w:tcPr>
          <w:p w14:paraId="16A958A6" w14:textId="4DF99CB5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&gt;1 'Opioid' medications removed from Pyxis</w:t>
            </w:r>
            <w:r w:rsidR="009F7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during their current admission </w:t>
            </w:r>
          </w:p>
        </w:tc>
        <w:tc>
          <w:tcPr>
            <w:tcW w:w="760" w:type="dxa"/>
          </w:tcPr>
          <w:p w14:paraId="79BAA04F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F673E" w:rsidRPr="00603EA9" w14:paraId="5BBAD919" w14:textId="77777777" w:rsidTr="008F673E">
        <w:trPr>
          <w:trHeight w:val="336"/>
        </w:trPr>
        <w:tc>
          <w:tcPr>
            <w:tcW w:w="318" w:type="dxa"/>
          </w:tcPr>
          <w:p w14:paraId="5C144AF2" w14:textId="1452E82C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428" w:type="dxa"/>
            <w:shd w:val="clear" w:color="auto" w:fill="auto"/>
          </w:tcPr>
          <w:p w14:paraId="118C0E11" w14:textId="07C42314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Outdated Pyxis</w:t>
            </w:r>
            <w:r w:rsidR="00803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†</w:t>
            </w:r>
          </w:p>
        </w:tc>
        <w:tc>
          <w:tcPr>
            <w:tcW w:w="5402" w:type="dxa"/>
            <w:shd w:val="clear" w:color="auto" w:fill="auto"/>
          </w:tcPr>
          <w:p w14:paraId="45046815" w14:textId="5AD89D1C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with Pyxis</w:t>
            </w:r>
            <w:r w:rsidR="00EF1A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medication profiles that have not been updated during the past 72 hours </w:t>
            </w:r>
          </w:p>
        </w:tc>
        <w:tc>
          <w:tcPr>
            <w:tcW w:w="760" w:type="dxa"/>
          </w:tcPr>
          <w:p w14:paraId="5519D98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F673E" w:rsidRPr="00603EA9" w14:paraId="675D5CB7" w14:textId="77777777" w:rsidTr="008F673E">
        <w:trPr>
          <w:trHeight w:val="521"/>
        </w:trPr>
        <w:tc>
          <w:tcPr>
            <w:tcW w:w="318" w:type="dxa"/>
          </w:tcPr>
          <w:p w14:paraId="2A2771BE" w14:textId="33CF9A0E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14:paraId="464361CF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Poor Med</w:t>
            </w:r>
          </w:p>
          <w:p w14:paraId="220C2F99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Compliance</w:t>
            </w:r>
          </w:p>
        </w:tc>
        <w:tc>
          <w:tcPr>
            <w:tcW w:w="5402" w:type="dxa"/>
            <w:shd w:val="clear" w:color="auto" w:fill="auto"/>
          </w:tcPr>
          <w:p w14:paraId="488ABB8D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Admitted patients identified via the medication reconciliation process as having comprehension difficulties OR are poorly compliant with their medications</w:t>
            </w:r>
          </w:p>
        </w:tc>
        <w:tc>
          <w:tcPr>
            <w:tcW w:w="760" w:type="dxa"/>
          </w:tcPr>
          <w:p w14:paraId="0D49E831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F673E" w:rsidRPr="00603EA9" w14:paraId="5B811FF2" w14:textId="77777777" w:rsidTr="008F673E">
        <w:trPr>
          <w:trHeight w:val="521"/>
        </w:trPr>
        <w:tc>
          <w:tcPr>
            <w:tcW w:w="318" w:type="dxa"/>
          </w:tcPr>
          <w:p w14:paraId="03BACC2C" w14:textId="037CC035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428" w:type="dxa"/>
            <w:shd w:val="clear" w:color="auto" w:fill="auto"/>
          </w:tcPr>
          <w:p w14:paraId="303778D8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No Registered GP</w:t>
            </w:r>
          </w:p>
        </w:tc>
        <w:tc>
          <w:tcPr>
            <w:tcW w:w="5402" w:type="dxa"/>
            <w:shd w:val="clear" w:color="auto" w:fill="auto"/>
          </w:tcPr>
          <w:p w14:paraId="5B23CD89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Admitted patients who had their GP listed as 'Doctor Unknown' during their most recent previous admission (within the previous 12 months)</w:t>
            </w:r>
          </w:p>
        </w:tc>
        <w:tc>
          <w:tcPr>
            <w:tcW w:w="760" w:type="dxa"/>
          </w:tcPr>
          <w:p w14:paraId="0790DD29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F673E" w:rsidRPr="00603EA9" w14:paraId="5664A6BB" w14:textId="77777777" w:rsidTr="008F673E">
        <w:trPr>
          <w:trHeight w:val="521"/>
        </w:trPr>
        <w:tc>
          <w:tcPr>
            <w:tcW w:w="318" w:type="dxa"/>
          </w:tcPr>
          <w:p w14:paraId="03B36DA5" w14:textId="13770FF4" w:rsidR="008F673E" w:rsidRDefault="00271909" w:rsidP="009B63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8" w:type="dxa"/>
            <w:shd w:val="clear" w:color="auto" w:fill="auto"/>
          </w:tcPr>
          <w:p w14:paraId="1582078B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ReAdmit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&lt;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days</w:t>
            </w:r>
          </w:p>
        </w:tc>
        <w:tc>
          <w:tcPr>
            <w:tcW w:w="5402" w:type="dxa"/>
            <w:shd w:val="clear" w:color="auto" w:fill="auto"/>
          </w:tcPr>
          <w:p w14:paraId="3868269B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currently admitted patients who were discharged within the 7 days</w:t>
            </w:r>
          </w:p>
        </w:tc>
        <w:tc>
          <w:tcPr>
            <w:tcW w:w="760" w:type="dxa"/>
          </w:tcPr>
          <w:p w14:paraId="0E9DCA40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F673E" w:rsidRPr="00603EA9" w14:paraId="3625F694" w14:textId="77777777" w:rsidTr="008F673E">
        <w:trPr>
          <w:trHeight w:val="521"/>
        </w:trPr>
        <w:tc>
          <w:tcPr>
            <w:tcW w:w="318" w:type="dxa"/>
          </w:tcPr>
          <w:p w14:paraId="6E5D3796" w14:textId="448AB3CC" w:rsidR="008F673E" w:rsidRDefault="00271909" w:rsidP="009B63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28" w:type="dxa"/>
            <w:shd w:val="clear" w:color="auto" w:fill="auto"/>
          </w:tcPr>
          <w:p w14:paraId="092A65AA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ReAdmit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&lt;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days</w:t>
            </w:r>
          </w:p>
        </w:tc>
        <w:tc>
          <w:tcPr>
            <w:tcW w:w="5402" w:type="dxa"/>
            <w:shd w:val="clear" w:color="auto" w:fill="auto"/>
          </w:tcPr>
          <w:p w14:paraId="3A8ADB1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currently admitted patients who were discharged within the 30 days</w:t>
            </w:r>
          </w:p>
        </w:tc>
        <w:tc>
          <w:tcPr>
            <w:tcW w:w="760" w:type="dxa"/>
          </w:tcPr>
          <w:p w14:paraId="7C03BAE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673E" w:rsidRPr="00603EA9" w14:paraId="3AE7B78F" w14:textId="77777777" w:rsidTr="008F673E">
        <w:trPr>
          <w:trHeight w:val="521"/>
        </w:trPr>
        <w:tc>
          <w:tcPr>
            <w:tcW w:w="318" w:type="dxa"/>
          </w:tcPr>
          <w:p w14:paraId="69714A54" w14:textId="5BB83F47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8" w:type="dxa"/>
            <w:shd w:val="clear" w:color="auto" w:fill="auto"/>
          </w:tcPr>
          <w:p w14:paraId="3A3D6C0E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TDM Meds</w:t>
            </w:r>
          </w:p>
        </w:tc>
        <w:tc>
          <w:tcPr>
            <w:tcW w:w="5402" w:type="dxa"/>
            <w:shd w:val="clear" w:color="auto" w:fill="auto"/>
          </w:tcPr>
          <w:p w14:paraId="6167325F" w14:textId="6653BF9E" w:rsidR="008F673E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Admitted patients with one of more medications requiring Therapeutic Drug Monitoring removed from Pyxis</w:t>
            </w:r>
            <w:r w:rsidR="00EF1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during their current admission.</w:t>
            </w:r>
          </w:p>
          <w:p w14:paraId="4F0445D2" w14:textId="50586D4D" w:rsidR="008F673E" w:rsidRPr="008F673E" w:rsidRDefault="008F673E" w:rsidP="008F673E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</w:tcPr>
          <w:p w14:paraId="71F764EC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673E" w:rsidRPr="00603EA9" w14:paraId="30DF38EA" w14:textId="77777777" w:rsidTr="008F673E">
        <w:trPr>
          <w:trHeight w:val="521"/>
        </w:trPr>
        <w:tc>
          <w:tcPr>
            <w:tcW w:w="318" w:type="dxa"/>
          </w:tcPr>
          <w:p w14:paraId="6679AC4F" w14:textId="7E2D50A5" w:rsidR="008F673E" w:rsidRPr="00603EA9" w:rsidRDefault="00271909" w:rsidP="009B63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8" w:type="dxa"/>
            <w:shd w:val="clear" w:color="auto" w:fill="auto"/>
          </w:tcPr>
          <w:p w14:paraId="64D437DA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Prescribing for Elderly</w:t>
            </w:r>
          </w:p>
        </w:tc>
        <w:tc>
          <w:tcPr>
            <w:tcW w:w="5402" w:type="dxa"/>
            <w:shd w:val="clear" w:color="auto" w:fill="auto"/>
          </w:tcPr>
          <w:p w14:paraId="3C6F8847" w14:textId="11663054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currently admitted patients over 80yrs AND admission source for current encounter in PIMS "Rest Home" or "Private Hospital" or "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Pukekohe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Hospital" or "Franklin Memorial Hospital"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&gt;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regular medications on admission (as per flag #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AND received specified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high risk medications removed from Pyxis</w:t>
            </w:r>
            <w:r w:rsidR="009F71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the past 30 days</w:t>
            </w:r>
          </w:p>
        </w:tc>
        <w:tc>
          <w:tcPr>
            <w:tcW w:w="760" w:type="dxa"/>
          </w:tcPr>
          <w:p w14:paraId="1DCBDCB8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</w:tbl>
    <w:p w14:paraId="7E973A14" w14:textId="26F298A9" w:rsidR="005D0268" w:rsidRDefault="00EE54EE" w:rsidP="00292E9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CCM is Chronic Care Management Programme, </w:t>
      </w:r>
      <w:r w:rsidR="00EF1A22">
        <w:rPr>
          <w:rFonts w:asciiTheme="minorHAnsi" w:hAnsiTheme="minorHAnsi" w:cstheme="minorHAnsi"/>
          <w:sz w:val="20"/>
          <w:szCs w:val="20"/>
        </w:rPr>
        <w:t xml:space="preserve">CHF is congestive heart failure, COPD is chronic obstructive pulmonary disease, CVD is cardiovascular disease, </w:t>
      </w:r>
      <w:r>
        <w:rPr>
          <w:rFonts w:asciiTheme="minorHAnsi" w:hAnsiTheme="minorHAnsi" w:cstheme="minorHAnsi"/>
          <w:sz w:val="20"/>
          <w:szCs w:val="20"/>
        </w:rPr>
        <w:t xml:space="preserve">M is </w:t>
      </w:r>
      <w:r w:rsidR="00EF1A22">
        <w:rPr>
          <w:rFonts w:asciiTheme="minorHAnsi" w:hAnsiTheme="minorHAnsi" w:cstheme="minorHAnsi"/>
          <w:sz w:val="20"/>
          <w:szCs w:val="20"/>
        </w:rPr>
        <w:t xml:space="preserve">from </w:t>
      </w:r>
      <w:r>
        <w:rPr>
          <w:rFonts w:asciiTheme="minorHAnsi" w:hAnsiTheme="minorHAnsi" w:cstheme="minorHAnsi"/>
          <w:sz w:val="20"/>
          <w:szCs w:val="20"/>
        </w:rPr>
        <w:t xml:space="preserve">Maori descent, Meds is medications, PI is </w:t>
      </w:r>
      <w:r w:rsidR="00EF1A22">
        <w:rPr>
          <w:rFonts w:asciiTheme="minorHAnsi" w:hAnsiTheme="minorHAnsi" w:cstheme="minorHAnsi"/>
          <w:sz w:val="20"/>
          <w:szCs w:val="20"/>
        </w:rPr>
        <w:t xml:space="preserve">from </w:t>
      </w:r>
      <w:r>
        <w:rPr>
          <w:rFonts w:asciiTheme="minorHAnsi" w:hAnsiTheme="minorHAnsi" w:cstheme="minorHAnsi"/>
          <w:sz w:val="20"/>
          <w:szCs w:val="20"/>
        </w:rPr>
        <w:t xml:space="preserve">Pacific Island descent, PIMS is </w:t>
      </w:r>
      <w:r w:rsidR="0009786D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otentially inappropriate medications, </w:t>
      </w:r>
      <w:r w:rsidR="009F710C">
        <w:rPr>
          <w:rFonts w:asciiTheme="minorHAnsi" w:hAnsiTheme="minorHAnsi" w:cstheme="minorHAnsi"/>
          <w:sz w:val="20"/>
          <w:szCs w:val="20"/>
        </w:rPr>
        <w:t>†</w:t>
      </w:r>
      <w:r w:rsidRPr="00603EA9">
        <w:rPr>
          <w:rFonts w:asciiTheme="minorHAnsi" w:hAnsiTheme="minorHAnsi" w:cstheme="minorHAnsi"/>
          <w:sz w:val="20"/>
          <w:szCs w:val="20"/>
        </w:rPr>
        <w:t xml:space="preserve">Pyxis </w:t>
      </w:r>
      <w:proofErr w:type="spellStart"/>
      <w:r w:rsidRPr="00603EA9">
        <w:rPr>
          <w:rFonts w:asciiTheme="minorHAnsi" w:hAnsiTheme="minorHAnsi" w:cstheme="minorHAnsi"/>
          <w:sz w:val="20"/>
          <w:szCs w:val="20"/>
        </w:rPr>
        <w:t>MedStation</w:t>
      </w:r>
      <w:proofErr w:type="spellEnd"/>
      <w:r>
        <w:rPr>
          <w:rFonts w:asciiTheme="minorHAnsi" w:hAnsiTheme="minorHAnsi" w:cstheme="minorHAnsi"/>
          <w:sz w:val="20"/>
          <w:szCs w:val="20"/>
        </w:rPr>
        <w:t>™</w:t>
      </w:r>
      <w:r w:rsidRPr="00603EA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is an automated dispensing system (from </w:t>
      </w:r>
      <w:r w:rsidRPr="00603EA9">
        <w:rPr>
          <w:rFonts w:asciiTheme="minorHAnsi" w:hAnsiTheme="minorHAnsi" w:cstheme="minorHAnsi"/>
          <w:sz w:val="20"/>
          <w:szCs w:val="20"/>
        </w:rPr>
        <w:t>CareFusion Corporation, San Diego, CA</w:t>
      </w:r>
      <w:r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="003D7774">
        <w:rPr>
          <w:rFonts w:asciiTheme="minorHAnsi" w:hAnsiTheme="minorHAnsi" w:cstheme="minorHAnsi"/>
          <w:sz w:val="20"/>
          <w:szCs w:val="20"/>
        </w:rPr>
        <w:t>ReAdmit</w:t>
      </w:r>
      <w:proofErr w:type="spellEnd"/>
      <w:r w:rsidR="003D7774">
        <w:rPr>
          <w:rFonts w:asciiTheme="minorHAnsi" w:hAnsiTheme="minorHAnsi" w:cstheme="minorHAnsi"/>
          <w:sz w:val="20"/>
          <w:szCs w:val="20"/>
        </w:rPr>
        <w:t xml:space="preserve"> is readmission, </w:t>
      </w:r>
      <w:r>
        <w:rPr>
          <w:rFonts w:asciiTheme="minorHAnsi" w:hAnsiTheme="minorHAnsi" w:cstheme="minorHAnsi"/>
          <w:sz w:val="20"/>
          <w:szCs w:val="20"/>
        </w:rPr>
        <w:t>TDM is therapeutic drug monitoring</w:t>
      </w:r>
      <w:r w:rsidR="001637A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45D271" w14:textId="45E4E0F5" w:rsidR="001637A8" w:rsidRPr="001637A8" w:rsidRDefault="001637A8" w:rsidP="001637A8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37A8">
        <w:rPr>
          <w:rFonts w:asciiTheme="minorHAnsi" w:hAnsiTheme="minorHAnsi" w:cstheme="minorHAnsi"/>
          <w:sz w:val="20"/>
          <w:szCs w:val="20"/>
        </w:rPr>
        <w:t>Adapted with permission from Am J Health-</w:t>
      </w:r>
      <w:proofErr w:type="spellStart"/>
      <w:r w:rsidRPr="001637A8">
        <w:rPr>
          <w:rFonts w:asciiTheme="minorHAnsi" w:hAnsiTheme="minorHAnsi" w:cstheme="minorHAnsi"/>
          <w:sz w:val="20"/>
          <w:szCs w:val="20"/>
        </w:rPr>
        <w:t>Syst</w:t>
      </w:r>
      <w:proofErr w:type="spellEnd"/>
      <w:r w:rsidRPr="001637A8">
        <w:rPr>
          <w:rFonts w:asciiTheme="minorHAnsi" w:hAnsiTheme="minorHAnsi" w:cstheme="minorHAnsi"/>
          <w:sz w:val="20"/>
          <w:szCs w:val="20"/>
        </w:rPr>
        <w:t xml:space="preserve"> Pharm, Feb 2017</w:t>
      </w:r>
      <w:r w:rsidR="005837A3">
        <w:rPr>
          <w:rFonts w:asciiTheme="minorHAnsi" w:hAnsiTheme="minorHAnsi" w:cstheme="minorHAnsi"/>
          <w:sz w:val="20"/>
          <w:szCs w:val="20"/>
        </w:rPr>
        <w:t>,[23]</w:t>
      </w:r>
      <w:bookmarkStart w:id="0" w:name="_GoBack"/>
      <w:bookmarkEnd w:id="0"/>
      <w:r w:rsidRPr="001637A8">
        <w:rPr>
          <w:rFonts w:asciiTheme="minorHAnsi" w:hAnsiTheme="minorHAnsi" w:cstheme="minorHAnsi"/>
          <w:sz w:val="20"/>
          <w:szCs w:val="20"/>
        </w:rPr>
        <w:t>.</w:t>
      </w:r>
    </w:p>
    <w:p w14:paraId="43D75E31" w14:textId="77777777" w:rsidR="001637A8" w:rsidRDefault="001637A8" w:rsidP="00292E9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0B5E76" w14:textId="77777777" w:rsidR="00EE54EE" w:rsidRPr="00603EA9" w:rsidRDefault="00EE54EE" w:rsidP="00292E9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9BFFA3" w14:textId="06C63074" w:rsidR="005D0268" w:rsidRPr="00603EA9" w:rsidRDefault="005D0268" w:rsidP="00191EF8">
      <w:pPr>
        <w:pStyle w:val="Heading2"/>
      </w:pPr>
      <w:r w:rsidRPr="00603EA9">
        <w:t>Laboratory Flags (not included in validation study)</w:t>
      </w:r>
      <w:r w:rsidR="00000FA7">
        <w:t>,</w:t>
      </w:r>
      <w:r w:rsidR="00976652">
        <w:t>[23]</w:t>
      </w:r>
      <w:r w:rsidR="00191EF8">
        <w:t>.</w:t>
      </w:r>
    </w:p>
    <w:tbl>
      <w:tblPr>
        <w:tblW w:w="890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59"/>
        <w:gridCol w:w="2260"/>
        <w:gridCol w:w="5515"/>
        <w:gridCol w:w="674"/>
      </w:tblGrid>
      <w:tr w:rsidR="008F673E" w:rsidRPr="00603EA9" w14:paraId="5BCAE4BC" w14:textId="77777777" w:rsidTr="008F673E">
        <w:trPr>
          <w:trHeight w:val="336"/>
        </w:trPr>
        <w:tc>
          <w:tcPr>
            <w:tcW w:w="459" w:type="dxa"/>
          </w:tcPr>
          <w:p w14:paraId="1DAAD91F" w14:textId="77777777" w:rsidR="008F673E" w:rsidRPr="00640057" w:rsidRDefault="008F673E" w:rsidP="009B63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2260" w:type="dxa"/>
            <w:shd w:val="clear" w:color="auto" w:fill="auto"/>
          </w:tcPr>
          <w:p w14:paraId="3E5849FC" w14:textId="77777777" w:rsidR="008F673E" w:rsidRPr="00640057" w:rsidRDefault="008F673E" w:rsidP="009B63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400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Flag</w:t>
            </w:r>
          </w:p>
        </w:tc>
        <w:tc>
          <w:tcPr>
            <w:tcW w:w="5515" w:type="dxa"/>
            <w:shd w:val="clear" w:color="auto" w:fill="FFFFFF"/>
          </w:tcPr>
          <w:p w14:paraId="5C1B2C93" w14:textId="77777777" w:rsidR="008F673E" w:rsidRPr="00640057" w:rsidRDefault="008F673E" w:rsidP="0074428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6400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674" w:type="dxa"/>
            <w:shd w:val="clear" w:color="auto" w:fill="FFFFFF"/>
          </w:tcPr>
          <w:p w14:paraId="1989F00D" w14:textId="77777777" w:rsidR="008F673E" w:rsidRPr="00640057" w:rsidRDefault="008F673E" w:rsidP="0074428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64005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Score</w:t>
            </w:r>
          </w:p>
        </w:tc>
      </w:tr>
      <w:tr w:rsidR="008F673E" w:rsidRPr="00603EA9" w14:paraId="349A6A12" w14:textId="77777777" w:rsidTr="008F673E">
        <w:trPr>
          <w:trHeight w:val="336"/>
        </w:trPr>
        <w:tc>
          <w:tcPr>
            <w:tcW w:w="459" w:type="dxa"/>
          </w:tcPr>
          <w:p w14:paraId="11B5DB1D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14:paraId="08A3A0B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Poor Renal Function</w:t>
            </w:r>
          </w:p>
        </w:tc>
        <w:tc>
          <w:tcPr>
            <w:tcW w:w="5515" w:type="dxa"/>
            <w:shd w:val="clear" w:color="auto" w:fill="FFFFFF"/>
          </w:tcPr>
          <w:p w14:paraId="085909F0" w14:textId="77777777" w:rsidR="008F673E" w:rsidRPr="00603EA9" w:rsidRDefault="008F673E" w:rsidP="007442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Admitted patients with one of the following test results: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eGFR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of &lt;30 mL/ min/1.73 m2 in past 5 days,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&gt;200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/L (&gt;2.2 mg/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) in past 5 days</w:t>
            </w:r>
          </w:p>
        </w:tc>
        <w:tc>
          <w:tcPr>
            <w:tcW w:w="674" w:type="dxa"/>
            <w:shd w:val="clear" w:color="auto" w:fill="FFFFFF"/>
          </w:tcPr>
          <w:p w14:paraId="5ADEE8EB" w14:textId="77777777" w:rsidR="008F673E" w:rsidRPr="00603EA9" w:rsidRDefault="008F673E" w:rsidP="007442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8F673E" w:rsidRPr="00603EA9" w14:paraId="645901F2" w14:textId="77777777" w:rsidTr="008F673E">
        <w:trPr>
          <w:trHeight w:val="336"/>
        </w:trPr>
        <w:tc>
          <w:tcPr>
            <w:tcW w:w="459" w:type="dxa"/>
          </w:tcPr>
          <w:p w14:paraId="22E40131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14:paraId="200E87AC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Infection Risk (WBC)</w:t>
            </w:r>
          </w:p>
        </w:tc>
        <w:tc>
          <w:tcPr>
            <w:tcW w:w="5515" w:type="dxa"/>
            <w:shd w:val="clear" w:color="auto" w:fill="auto"/>
          </w:tcPr>
          <w:p w14:paraId="6877A74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currently admitted patients with one of the following test results: WBC count of &lt;3 × 109/L (&lt;3 × 103/mm3) in past 5 days, neutrophil count of &lt;1.5 × 109/L (&lt;1.5 × 103/mm3) in past 5 days</w:t>
            </w:r>
          </w:p>
        </w:tc>
        <w:tc>
          <w:tcPr>
            <w:tcW w:w="674" w:type="dxa"/>
          </w:tcPr>
          <w:p w14:paraId="515927CF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8F673E" w:rsidRPr="00603EA9" w14:paraId="78D15E5D" w14:textId="77777777" w:rsidTr="008F673E">
        <w:trPr>
          <w:trHeight w:val="336"/>
        </w:trPr>
        <w:tc>
          <w:tcPr>
            <w:tcW w:w="459" w:type="dxa"/>
          </w:tcPr>
          <w:p w14:paraId="45AC814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14:paraId="05E8248A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Coagulation Risk</w:t>
            </w:r>
          </w:p>
        </w:tc>
        <w:tc>
          <w:tcPr>
            <w:tcW w:w="5515" w:type="dxa"/>
            <w:shd w:val="clear" w:color="auto" w:fill="auto"/>
          </w:tcPr>
          <w:p w14:paraId="35CE67E6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All currently admitted patients with one of the following test results: INR of &gt;3.5 in past 5 days,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aPTT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of &gt;100 sec in past 5 days</w:t>
            </w:r>
          </w:p>
        </w:tc>
        <w:tc>
          <w:tcPr>
            <w:tcW w:w="674" w:type="dxa"/>
          </w:tcPr>
          <w:p w14:paraId="4A74AB03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8F673E" w:rsidRPr="00603EA9" w14:paraId="1F42AA7B" w14:textId="77777777" w:rsidTr="008F673E">
        <w:trPr>
          <w:trHeight w:val="336"/>
        </w:trPr>
        <w:tc>
          <w:tcPr>
            <w:tcW w:w="459" w:type="dxa"/>
          </w:tcPr>
          <w:p w14:paraId="131E128B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14:paraId="03BA229C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Potassium</w:t>
            </w:r>
          </w:p>
        </w:tc>
        <w:tc>
          <w:tcPr>
            <w:tcW w:w="5515" w:type="dxa"/>
            <w:shd w:val="clear" w:color="auto" w:fill="auto"/>
          </w:tcPr>
          <w:p w14:paraId="16CE726C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All currently admitted patients with potassium concentration of &lt;3 or &gt;6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/L (&lt;3 or &gt;6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meq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/L) in past 5 days</w:t>
            </w:r>
          </w:p>
        </w:tc>
        <w:tc>
          <w:tcPr>
            <w:tcW w:w="674" w:type="dxa"/>
          </w:tcPr>
          <w:p w14:paraId="0908521C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8F673E" w:rsidRPr="00603EA9" w14:paraId="4C5A7124" w14:textId="77777777" w:rsidTr="008F673E">
        <w:trPr>
          <w:trHeight w:val="336"/>
        </w:trPr>
        <w:tc>
          <w:tcPr>
            <w:tcW w:w="459" w:type="dxa"/>
          </w:tcPr>
          <w:p w14:paraId="5B92EDE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5</w:t>
            </w:r>
          </w:p>
        </w:tc>
        <w:tc>
          <w:tcPr>
            <w:tcW w:w="2260" w:type="dxa"/>
            <w:shd w:val="clear" w:color="auto" w:fill="auto"/>
          </w:tcPr>
          <w:p w14:paraId="2EBD79C1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Therapeutic Monitoring</w:t>
            </w:r>
          </w:p>
        </w:tc>
        <w:tc>
          <w:tcPr>
            <w:tcW w:w="5515" w:type="dxa"/>
            <w:shd w:val="clear" w:color="auto" w:fill="auto"/>
          </w:tcPr>
          <w:p w14:paraId="35F4BBDA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All currently admitted patients with one of the following drug concentrations in past 3 days: gentamicin trough of &gt;1.0 mg/L (&gt;1.0 mg/mL), tobramycin trough of &gt;1.0 mg/L (&gt;1.0 mg/mL), amikacin trough of &gt;1.0 mg/L (&gt;1.0 mg/mL), vancomycin trough of &gt;25 mg/L (&gt;25 mg/mL), phenytoin of &gt;80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/L (&gt;20 mg/mL), digoxin of &gt;2.0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/L (&gt;1.5 ng/mL)</w:t>
            </w:r>
          </w:p>
        </w:tc>
        <w:tc>
          <w:tcPr>
            <w:tcW w:w="674" w:type="dxa"/>
          </w:tcPr>
          <w:p w14:paraId="08D772C4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8F673E" w:rsidRPr="00603EA9" w14:paraId="5F70EA92" w14:textId="77777777" w:rsidTr="008F673E">
        <w:trPr>
          <w:trHeight w:val="336"/>
        </w:trPr>
        <w:tc>
          <w:tcPr>
            <w:tcW w:w="459" w:type="dxa"/>
          </w:tcPr>
          <w:p w14:paraId="44B344CD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260" w:type="dxa"/>
            <w:shd w:val="clear" w:color="auto" w:fill="auto"/>
          </w:tcPr>
          <w:p w14:paraId="2C633455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Clostridium Diff</w:t>
            </w:r>
          </w:p>
        </w:tc>
        <w:tc>
          <w:tcPr>
            <w:tcW w:w="5515" w:type="dxa"/>
            <w:shd w:val="clear" w:color="auto" w:fill="auto"/>
          </w:tcPr>
          <w:p w14:paraId="74DB5BC5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currently admitted patients with positive Clostridium difficile toxin culture in past 5 days</w:t>
            </w:r>
          </w:p>
        </w:tc>
        <w:tc>
          <w:tcPr>
            <w:tcW w:w="674" w:type="dxa"/>
          </w:tcPr>
          <w:p w14:paraId="1E5C8BEE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8F673E" w:rsidRPr="00603EA9" w14:paraId="2EEC502A" w14:textId="77777777" w:rsidTr="008F673E">
        <w:trPr>
          <w:trHeight w:val="336"/>
        </w:trPr>
        <w:tc>
          <w:tcPr>
            <w:tcW w:w="459" w:type="dxa"/>
          </w:tcPr>
          <w:p w14:paraId="09E3DD53" w14:textId="77777777" w:rsidR="008F673E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260" w:type="dxa"/>
            <w:shd w:val="clear" w:color="auto" w:fill="auto"/>
          </w:tcPr>
          <w:p w14:paraId="05AE7D6A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Diabetes Management (HBA1c</w:t>
            </w: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515" w:type="dxa"/>
            <w:shd w:val="clear" w:color="auto" w:fill="auto"/>
          </w:tcPr>
          <w:p w14:paraId="120E1132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All currently admitted patients with one of the following test results: HbA1c of &gt;64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in past 90 days, serum glucose of &gt;11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/L (&gt;198 mg/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) in last 5 days</w:t>
            </w:r>
          </w:p>
        </w:tc>
        <w:tc>
          <w:tcPr>
            <w:tcW w:w="674" w:type="dxa"/>
          </w:tcPr>
          <w:p w14:paraId="40B65BCB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8F673E" w:rsidRPr="00603EA9" w14:paraId="40A70064" w14:textId="77777777" w:rsidTr="008F673E">
        <w:trPr>
          <w:trHeight w:val="336"/>
        </w:trPr>
        <w:tc>
          <w:tcPr>
            <w:tcW w:w="459" w:type="dxa"/>
          </w:tcPr>
          <w:p w14:paraId="3ACC37CB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260" w:type="dxa"/>
            <w:shd w:val="clear" w:color="auto" w:fill="auto"/>
          </w:tcPr>
          <w:p w14:paraId="47854D19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Myocardial Damage (Troponin I)</w:t>
            </w:r>
          </w:p>
        </w:tc>
        <w:tc>
          <w:tcPr>
            <w:tcW w:w="5515" w:type="dxa"/>
            <w:shd w:val="clear" w:color="auto" w:fill="auto"/>
          </w:tcPr>
          <w:p w14:paraId="5FEB9691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currently admitted patients with two troponin values of &gt;300 ng/mL in past 5 days</w:t>
            </w:r>
          </w:p>
        </w:tc>
        <w:tc>
          <w:tcPr>
            <w:tcW w:w="674" w:type="dxa"/>
          </w:tcPr>
          <w:p w14:paraId="6BFC1463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8F673E" w:rsidRPr="00603EA9" w14:paraId="60B7B25D" w14:textId="77777777" w:rsidTr="008F673E">
        <w:trPr>
          <w:trHeight w:val="336"/>
        </w:trPr>
        <w:tc>
          <w:tcPr>
            <w:tcW w:w="459" w:type="dxa"/>
          </w:tcPr>
          <w:p w14:paraId="61C6E1DB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260" w:type="dxa"/>
            <w:shd w:val="clear" w:color="auto" w:fill="auto"/>
          </w:tcPr>
          <w:p w14:paraId="25D36D1F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Deteriorating Renal Function</w:t>
            </w:r>
          </w:p>
        </w:tc>
        <w:tc>
          <w:tcPr>
            <w:tcW w:w="5515" w:type="dxa"/>
            <w:shd w:val="clear" w:color="auto" w:fill="auto"/>
          </w:tcPr>
          <w:p w14:paraId="3B0DFA94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Rising urea or serum Creatinine concentration to &gt;2 times baseline (baseline = mean of all values in past 5 days) </w:t>
            </w:r>
          </w:p>
        </w:tc>
        <w:tc>
          <w:tcPr>
            <w:tcW w:w="674" w:type="dxa"/>
          </w:tcPr>
          <w:p w14:paraId="2252E213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8F673E" w:rsidRPr="00603EA9" w14:paraId="3CC4EC9B" w14:textId="77777777" w:rsidTr="008F673E">
        <w:trPr>
          <w:trHeight w:val="336"/>
        </w:trPr>
        <w:tc>
          <w:tcPr>
            <w:tcW w:w="459" w:type="dxa"/>
          </w:tcPr>
          <w:p w14:paraId="02429439" w14:textId="77777777" w:rsidR="008F673E" w:rsidRPr="00603EA9" w:rsidRDefault="008F673E" w:rsidP="009042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260" w:type="dxa"/>
            <w:shd w:val="clear" w:color="auto" w:fill="auto"/>
          </w:tcPr>
          <w:p w14:paraId="4F3CFA8A" w14:textId="77777777" w:rsidR="008F673E" w:rsidRPr="00603EA9" w:rsidRDefault="008F673E" w:rsidP="009042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Hematology</w:t>
            </w:r>
            <w:proofErr w:type="spellEnd"/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(Bleeding)</w:t>
            </w:r>
          </w:p>
          <w:p w14:paraId="716463F0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515" w:type="dxa"/>
            <w:shd w:val="clear" w:color="auto" w:fill="auto"/>
          </w:tcPr>
          <w:p w14:paraId="335ADCEF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All currently admitted patients with drop in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Hb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to &gt;25% of baseline (baseline = mean of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Hb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values over past 5 days) or drop in PCV to &gt;25% of baseline (baseline = mean volume over past 5 days) or platelet count of &lt;50 × 109/L within past 5 days</w:t>
            </w:r>
          </w:p>
        </w:tc>
        <w:tc>
          <w:tcPr>
            <w:tcW w:w="674" w:type="dxa"/>
          </w:tcPr>
          <w:p w14:paraId="3FDA8248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8F673E" w:rsidRPr="00603EA9" w14:paraId="7ADBC338" w14:textId="77777777" w:rsidTr="008F673E">
        <w:trPr>
          <w:trHeight w:val="336"/>
        </w:trPr>
        <w:tc>
          <w:tcPr>
            <w:tcW w:w="459" w:type="dxa"/>
          </w:tcPr>
          <w:p w14:paraId="69B5D81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260" w:type="dxa"/>
            <w:shd w:val="clear" w:color="auto" w:fill="auto"/>
          </w:tcPr>
          <w:p w14:paraId="002FC5C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Warfarin Monitoring</w:t>
            </w:r>
          </w:p>
        </w:tc>
        <w:tc>
          <w:tcPr>
            <w:tcW w:w="5515" w:type="dxa"/>
            <w:shd w:val="clear" w:color="auto" w:fill="auto"/>
          </w:tcPr>
          <w:p w14:paraId="43C2E11F" w14:textId="30D3F4C2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currently admitted patients with warfarin removed from Pyxis</w:t>
            </w:r>
            <w:r w:rsidR="0080386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†</w:t>
            </w: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during current admission and two consecutive INR values of &lt;1.5 in past 5 days and/or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aPTT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of &lt;60 sec</w:t>
            </w:r>
          </w:p>
        </w:tc>
        <w:tc>
          <w:tcPr>
            <w:tcW w:w="674" w:type="dxa"/>
          </w:tcPr>
          <w:p w14:paraId="264331D7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8F673E" w:rsidRPr="00603EA9" w14:paraId="69525FA9" w14:textId="77777777" w:rsidTr="008F673E">
        <w:trPr>
          <w:trHeight w:val="521"/>
        </w:trPr>
        <w:tc>
          <w:tcPr>
            <w:tcW w:w="459" w:type="dxa"/>
          </w:tcPr>
          <w:p w14:paraId="5BDD2B6F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14:paraId="4ED83756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Sodium</w:t>
            </w:r>
          </w:p>
        </w:tc>
        <w:tc>
          <w:tcPr>
            <w:tcW w:w="5515" w:type="dxa"/>
            <w:shd w:val="clear" w:color="auto" w:fill="auto"/>
          </w:tcPr>
          <w:p w14:paraId="57CFBB4D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All currently admitted patients with sodium concentration of &lt;125 or &gt;155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/L (&lt;125 or &gt;155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meq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/L) in past 5 days </w:t>
            </w:r>
          </w:p>
        </w:tc>
        <w:tc>
          <w:tcPr>
            <w:tcW w:w="674" w:type="dxa"/>
          </w:tcPr>
          <w:p w14:paraId="575169BD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8F673E" w:rsidRPr="00603EA9" w14:paraId="0CE6DAF1" w14:textId="77777777" w:rsidTr="008F673E">
        <w:trPr>
          <w:trHeight w:val="336"/>
        </w:trPr>
        <w:tc>
          <w:tcPr>
            <w:tcW w:w="459" w:type="dxa"/>
          </w:tcPr>
          <w:p w14:paraId="182CB4BB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260" w:type="dxa"/>
            <w:shd w:val="clear" w:color="auto" w:fill="auto"/>
          </w:tcPr>
          <w:p w14:paraId="061E37B7" w14:textId="77777777" w:rsidR="008F673E" w:rsidRPr="00603EA9" w:rsidRDefault="008F673E" w:rsidP="009B63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Glycemic</w:t>
            </w:r>
            <w:proofErr w:type="spellEnd"/>
            <w:r w:rsidRPr="00603E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Control</w:t>
            </w:r>
          </w:p>
        </w:tc>
        <w:tc>
          <w:tcPr>
            <w:tcW w:w="5515" w:type="dxa"/>
            <w:shd w:val="clear" w:color="auto" w:fill="auto"/>
          </w:tcPr>
          <w:p w14:paraId="504C096C" w14:textId="21EE0A22" w:rsidR="008F673E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All currently admitted patients with glucose concentration of &lt;4 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mmol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/L (72 mg/</w:t>
            </w:r>
            <w:proofErr w:type="spellStart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dL</w:t>
            </w:r>
            <w:proofErr w:type="spellEnd"/>
            <w:r w:rsidRPr="00603E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) in past 5 days and received</w:t>
            </w:r>
            <w:r w:rsidR="0009786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diabetic medication from Pyxis†</w:t>
            </w:r>
          </w:p>
          <w:p w14:paraId="101258F1" w14:textId="0362C370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74" w:type="dxa"/>
          </w:tcPr>
          <w:p w14:paraId="2AEACDD3" w14:textId="77777777" w:rsidR="008F673E" w:rsidRPr="00603EA9" w:rsidRDefault="008F673E" w:rsidP="009B63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</w:tbl>
    <w:p w14:paraId="0F6A0760" w14:textId="749D0E78" w:rsidR="005D0268" w:rsidRDefault="00904246" w:rsidP="00292E9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3EA9">
        <w:rPr>
          <w:rFonts w:asciiTheme="minorHAnsi" w:hAnsiTheme="minorHAnsi" w:cstheme="minorHAnsi"/>
          <w:sz w:val="20"/>
          <w:szCs w:val="20"/>
        </w:rPr>
        <w:lastRenderedPageBreak/>
        <w:t>eGFR</w:t>
      </w:r>
      <w:proofErr w:type="spellEnd"/>
      <w:r w:rsidRPr="00603EA9">
        <w:rPr>
          <w:rFonts w:asciiTheme="minorHAnsi" w:hAnsiTheme="minorHAnsi" w:cstheme="minorHAnsi"/>
          <w:sz w:val="20"/>
          <w:szCs w:val="20"/>
        </w:rPr>
        <w:t xml:space="preserve"> is estimated glomerular filtration rate, WBC is white blood cell</w:t>
      </w:r>
      <w:r w:rsidR="0009786D">
        <w:rPr>
          <w:rFonts w:asciiTheme="minorHAnsi" w:hAnsiTheme="minorHAnsi" w:cstheme="minorHAnsi"/>
          <w:sz w:val="20"/>
          <w:szCs w:val="20"/>
        </w:rPr>
        <w:t xml:space="preserve"> count</w:t>
      </w:r>
      <w:r w:rsidRPr="00603EA9">
        <w:rPr>
          <w:rFonts w:asciiTheme="minorHAnsi" w:hAnsiTheme="minorHAnsi" w:cstheme="minorHAnsi"/>
          <w:sz w:val="20"/>
          <w:szCs w:val="20"/>
        </w:rPr>
        <w:t>, HBA1c is glycosylated h</w:t>
      </w:r>
      <w:r w:rsidR="0009786D">
        <w:rPr>
          <w:rFonts w:asciiTheme="minorHAnsi" w:hAnsiTheme="minorHAnsi" w:cstheme="minorHAnsi"/>
          <w:sz w:val="20"/>
          <w:szCs w:val="20"/>
        </w:rPr>
        <w:t>a</w:t>
      </w:r>
      <w:r w:rsidRPr="00603EA9">
        <w:rPr>
          <w:rFonts w:asciiTheme="minorHAnsi" w:hAnsiTheme="minorHAnsi" w:cstheme="minorHAnsi"/>
          <w:sz w:val="20"/>
          <w:szCs w:val="20"/>
        </w:rPr>
        <w:t xml:space="preserve">emoglobin, </w:t>
      </w:r>
      <w:proofErr w:type="spellStart"/>
      <w:r w:rsidRPr="00603EA9">
        <w:rPr>
          <w:rFonts w:asciiTheme="minorHAnsi" w:hAnsiTheme="minorHAnsi" w:cstheme="minorHAnsi"/>
          <w:sz w:val="20"/>
          <w:szCs w:val="20"/>
        </w:rPr>
        <w:t>aPTT</w:t>
      </w:r>
      <w:proofErr w:type="spellEnd"/>
      <w:r w:rsidRPr="00603EA9">
        <w:rPr>
          <w:rFonts w:asciiTheme="minorHAnsi" w:hAnsiTheme="minorHAnsi" w:cstheme="minorHAnsi"/>
          <w:sz w:val="20"/>
          <w:szCs w:val="20"/>
        </w:rPr>
        <w:t xml:space="preserve"> is activated partial thromboplastin time, INR is International Normalized Ratio, PCV is packed cell </w:t>
      </w:r>
      <w:r w:rsidR="0009786D">
        <w:rPr>
          <w:rFonts w:asciiTheme="minorHAnsi" w:hAnsiTheme="minorHAnsi" w:cstheme="minorHAnsi"/>
          <w:sz w:val="20"/>
          <w:szCs w:val="20"/>
        </w:rPr>
        <w:t xml:space="preserve">volume, </w:t>
      </w:r>
      <w:proofErr w:type="spellStart"/>
      <w:r w:rsidR="0009786D">
        <w:rPr>
          <w:rFonts w:asciiTheme="minorHAnsi" w:hAnsiTheme="minorHAnsi" w:cstheme="minorHAnsi"/>
          <w:sz w:val="20"/>
          <w:szCs w:val="20"/>
        </w:rPr>
        <w:t>Hb</w:t>
      </w:r>
      <w:proofErr w:type="spellEnd"/>
      <w:r w:rsidR="0009786D">
        <w:rPr>
          <w:rFonts w:asciiTheme="minorHAnsi" w:hAnsiTheme="minorHAnsi" w:cstheme="minorHAnsi"/>
          <w:sz w:val="20"/>
          <w:szCs w:val="20"/>
        </w:rPr>
        <w:t xml:space="preserve"> is haemoglobin, †</w:t>
      </w:r>
      <w:r w:rsidR="0009786D" w:rsidRPr="0009786D">
        <w:rPr>
          <w:rFonts w:asciiTheme="minorHAnsi" w:hAnsiTheme="minorHAnsi" w:cstheme="minorHAnsi"/>
          <w:sz w:val="20"/>
          <w:szCs w:val="20"/>
        </w:rPr>
        <w:t xml:space="preserve"> </w:t>
      </w:r>
      <w:r w:rsidR="0009786D">
        <w:rPr>
          <w:rFonts w:asciiTheme="minorHAnsi" w:hAnsiTheme="minorHAnsi" w:cstheme="minorHAnsi"/>
          <w:sz w:val="20"/>
          <w:szCs w:val="20"/>
        </w:rPr>
        <w:t>Pyxis</w:t>
      </w:r>
      <w:r w:rsidR="0009786D" w:rsidRPr="00603E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9786D" w:rsidRPr="00603EA9">
        <w:rPr>
          <w:rFonts w:asciiTheme="minorHAnsi" w:hAnsiTheme="minorHAnsi" w:cstheme="minorHAnsi"/>
          <w:sz w:val="20"/>
          <w:szCs w:val="20"/>
        </w:rPr>
        <w:t>MedStation</w:t>
      </w:r>
      <w:proofErr w:type="spellEnd"/>
      <w:r w:rsidR="0009786D">
        <w:rPr>
          <w:rFonts w:asciiTheme="minorHAnsi" w:hAnsiTheme="minorHAnsi" w:cstheme="minorHAnsi"/>
          <w:sz w:val="20"/>
          <w:szCs w:val="20"/>
        </w:rPr>
        <w:t>™</w:t>
      </w:r>
      <w:r w:rsidR="0009786D" w:rsidRPr="00603EA9">
        <w:rPr>
          <w:rFonts w:asciiTheme="minorHAnsi" w:hAnsiTheme="minorHAnsi" w:cstheme="minorHAnsi"/>
          <w:sz w:val="20"/>
          <w:szCs w:val="20"/>
        </w:rPr>
        <w:t xml:space="preserve"> automated dispensing system (CareFusion Corporation, San Diego, CA).</w:t>
      </w:r>
    </w:p>
    <w:p w14:paraId="07ABEE93" w14:textId="1024AF5E" w:rsidR="005D0268" w:rsidRPr="001637A8" w:rsidRDefault="00785169" w:rsidP="00292E9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37A8">
        <w:rPr>
          <w:rFonts w:asciiTheme="minorHAnsi" w:hAnsiTheme="minorHAnsi" w:cstheme="minorHAnsi"/>
          <w:sz w:val="20"/>
          <w:szCs w:val="20"/>
        </w:rPr>
        <w:t>Adapted with permission from Am J Health-</w:t>
      </w:r>
      <w:proofErr w:type="spellStart"/>
      <w:r w:rsidRPr="001637A8">
        <w:rPr>
          <w:rFonts w:asciiTheme="minorHAnsi" w:hAnsiTheme="minorHAnsi" w:cstheme="minorHAnsi"/>
          <w:sz w:val="20"/>
          <w:szCs w:val="20"/>
        </w:rPr>
        <w:t>Syst</w:t>
      </w:r>
      <w:proofErr w:type="spellEnd"/>
      <w:r w:rsidRPr="001637A8">
        <w:rPr>
          <w:rFonts w:asciiTheme="minorHAnsi" w:hAnsiTheme="minorHAnsi" w:cstheme="minorHAnsi"/>
          <w:sz w:val="20"/>
          <w:szCs w:val="20"/>
        </w:rPr>
        <w:t xml:space="preserve"> Pharm, Feb 2017.</w:t>
      </w:r>
    </w:p>
    <w:p w14:paraId="69EC43AF" w14:textId="77777777" w:rsidR="005D0268" w:rsidRPr="00603EA9" w:rsidRDefault="005D0268" w:rsidP="00292E9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ED78F3" w14:textId="77777777" w:rsidR="005D0268" w:rsidRDefault="005D0268" w:rsidP="00292E90">
      <w:pPr>
        <w:spacing w:line="240" w:lineRule="auto"/>
        <w:jc w:val="both"/>
        <w:rPr>
          <w:szCs w:val="24"/>
        </w:rPr>
      </w:pPr>
    </w:p>
    <w:p w14:paraId="4F78B7BB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33438B6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1476F557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AF6D9AA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7B3D53C5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26EAFB4F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AB9F7F8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A5027F0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6660138E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01750C8C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26DD844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24411EFB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150A8C25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1B61627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111D384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6F3DB9B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21F137F4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083FE3B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3E8E3B2F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0373E415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EFA9C0D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73D97FD0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AD2B507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6741C47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325AFE5E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237385F3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3B15E766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21DC6407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7BDFBDDD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276E7670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124F07D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222B7A22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7DE04289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FA0572A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0062B8A7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6C598ADD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64CBC3CE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F542410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706A2BE9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6FC81366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1A64749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73D34BE7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46DDE48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696A4E6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5C45DD17" w14:textId="4461F01E" w:rsidR="00292E90" w:rsidRPr="00326DB3" w:rsidRDefault="00E579FC" w:rsidP="00292E90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Appendix 2</w:t>
      </w:r>
      <w:r w:rsidR="00652568">
        <w:rPr>
          <w:szCs w:val="24"/>
        </w:rPr>
        <w:t>.</w:t>
      </w:r>
    </w:p>
    <w:p w14:paraId="7F3F9AE3" w14:textId="77777777" w:rsidR="00292E90" w:rsidRPr="00F66695" w:rsidRDefault="00292E90" w:rsidP="00292E90">
      <w:pPr>
        <w:tabs>
          <w:tab w:val="center" w:pos="4513"/>
        </w:tabs>
        <w:rPr>
          <w:b/>
        </w:rPr>
      </w:pPr>
      <w:r w:rsidRPr="00F66695">
        <w:rPr>
          <w:b/>
        </w:rPr>
        <w:t>Medication Reconciliation Form</w:t>
      </w:r>
      <w:r>
        <w:rPr>
          <w:b/>
        </w:rPr>
        <w:tab/>
      </w:r>
    </w:p>
    <w:p w14:paraId="4625E702" w14:textId="77777777" w:rsidR="00292E90" w:rsidRDefault="00F77EF6" w:rsidP="00F77EF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14EFE6E" wp14:editId="7E83C17C">
            <wp:extent cx="4992969" cy="611503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56" cy="61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0AF9" w14:textId="77777777" w:rsidR="00292E90" w:rsidRDefault="00292E90" w:rsidP="00292E90"/>
    <w:p w14:paraId="49DDC4BA" w14:textId="77777777" w:rsidR="00292E90" w:rsidRDefault="00292E90" w:rsidP="00292E90"/>
    <w:p w14:paraId="5BD0FE57" w14:textId="77777777" w:rsidR="00292E90" w:rsidRDefault="00292E90" w:rsidP="00292E90"/>
    <w:p w14:paraId="7BBA4996" w14:textId="77777777" w:rsidR="00292E90" w:rsidRDefault="00292E90" w:rsidP="00292E90">
      <w:pPr>
        <w:spacing w:line="240" w:lineRule="auto"/>
        <w:ind w:hanging="11"/>
      </w:pPr>
    </w:p>
    <w:p w14:paraId="2A04C2BD" w14:textId="77777777" w:rsidR="00652568" w:rsidRDefault="00652568" w:rsidP="00292E90">
      <w:pPr>
        <w:spacing w:line="240" w:lineRule="auto"/>
        <w:ind w:hanging="11"/>
      </w:pPr>
    </w:p>
    <w:p w14:paraId="2AEA064D" w14:textId="77777777" w:rsidR="00652568" w:rsidRDefault="00652568" w:rsidP="00292E90">
      <w:pPr>
        <w:spacing w:line="240" w:lineRule="auto"/>
        <w:ind w:hanging="11"/>
      </w:pPr>
    </w:p>
    <w:p w14:paraId="75BB8EC6" w14:textId="77777777" w:rsidR="00652568" w:rsidRDefault="00652568" w:rsidP="00292E90">
      <w:pPr>
        <w:spacing w:line="240" w:lineRule="auto"/>
        <w:ind w:hanging="11"/>
      </w:pPr>
    </w:p>
    <w:p w14:paraId="25717A67" w14:textId="77777777" w:rsidR="00652568" w:rsidRDefault="00652568" w:rsidP="00292E90">
      <w:pPr>
        <w:spacing w:line="240" w:lineRule="auto"/>
        <w:ind w:hanging="11"/>
      </w:pPr>
    </w:p>
    <w:p w14:paraId="733ECC47" w14:textId="77777777" w:rsidR="00652568" w:rsidRDefault="00652568" w:rsidP="00292E90">
      <w:pPr>
        <w:spacing w:line="240" w:lineRule="auto"/>
        <w:ind w:hanging="11"/>
      </w:pPr>
    </w:p>
    <w:p w14:paraId="2B4E8E03" w14:textId="7A63F98C" w:rsidR="00292E90" w:rsidRDefault="00D41EFF" w:rsidP="00292E90">
      <w:pPr>
        <w:spacing w:line="240" w:lineRule="auto"/>
        <w:ind w:hanging="11"/>
      </w:pPr>
      <w:r>
        <w:lastRenderedPageBreak/>
        <w:t>Appendix 2</w:t>
      </w:r>
      <w:r w:rsidR="00652568">
        <w:t>.</w:t>
      </w:r>
      <w:r w:rsidR="00292E90">
        <w:t xml:space="preserve"> continued</w:t>
      </w:r>
    </w:p>
    <w:p w14:paraId="7FAACCAC" w14:textId="77777777" w:rsidR="00292E90" w:rsidRDefault="00292E90" w:rsidP="00292E90"/>
    <w:p w14:paraId="567ADC8B" w14:textId="77777777" w:rsidR="00292E90" w:rsidRDefault="00292E90" w:rsidP="00292E90">
      <w:r w:rsidRPr="00F66695">
        <w:rPr>
          <w:noProof/>
          <w:lang w:val="en-GB" w:eastAsia="en-GB"/>
        </w:rPr>
        <w:drawing>
          <wp:inline distT="0" distB="0" distL="0" distR="0" wp14:anchorId="1FA2B83F" wp14:editId="408308A7">
            <wp:extent cx="5695238" cy="7476191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7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964A" w14:textId="77777777" w:rsidR="00292E90" w:rsidRDefault="00292E90" w:rsidP="00292E90"/>
    <w:p w14:paraId="34716DE6" w14:textId="77777777" w:rsidR="00292E90" w:rsidRDefault="00292E90" w:rsidP="00292E90"/>
    <w:p w14:paraId="7E91E24C" w14:textId="77777777" w:rsidR="00292E90" w:rsidRDefault="00292E90" w:rsidP="00292E90"/>
    <w:p w14:paraId="3DA38455" w14:textId="4C0530AB" w:rsidR="00292E90" w:rsidRDefault="007C1818" w:rsidP="00292E90">
      <w:pPr>
        <w:spacing w:line="240" w:lineRule="auto"/>
        <w:ind w:hanging="11"/>
      </w:pPr>
      <w:r>
        <w:lastRenderedPageBreak/>
        <w:t>Appendix 2</w:t>
      </w:r>
      <w:r w:rsidR="00652568">
        <w:t>.</w:t>
      </w:r>
      <w:r w:rsidR="00292E90">
        <w:t xml:space="preserve"> continued</w:t>
      </w:r>
    </w:p>
    <w:p w14:paraId="45187B22" w14:textId="77777777" w:rsidR="00292E90" w:rsidRDefault="00292E90" w:rsidP="00292E90">
      <w:r w:rsidRPr="00F66695">
        <w:rPr>
          <w:noProof/>
          <w:lang w:val="en-GB" w:eastAsia="en-GB"/>
        </w:rPr>
        <w:drawing>
          <wp:inline distT="0" distB="0" distL="0" distR="0" wp14:anchorId="7DEFB83E" wp14:editId="707C30F6">
            <wp:extent cx="5714286" cy="1466667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8A16A" w14:textId="77777777" w:rsidR="00292E90" w:rsidRDefault="00292E90" w:rsidP="00292E90">
      <w:pPr>
        <w:spacing w:line="240" w:lineRule="auto"/>
        <w:ind w:hanging="11"/>
      </w:pPr>
    </w:p>
    <w:p w14:paraId="32954616" w14:textId="77777777" w:rsidR="00292E90" w:rsidRDefault="00292E90" w:rsidP="00292E90">
      <w:pPr>
        <w:spacing w:line="240" w:lineRule="auto"/>
        <w:ind w:hanging="11"/>
      </w:pPr>
    </w:p>
    <w:p w14:paraId="13A7F2A6" w14:textId="77777777" w:rsidR="00652568" w:rsidRDefault="00652568" w:rsidP="00292E90">
      <w:pPr>
        <w:spacing w:line="240" w:lineRule="auto"/>
        <w:ind w:hanging="11"/>
      </w:pPr>
    </w:p>
    <w:p w14:paraId="6B61E34E" w14:textId="77777777" w:rsidR="00652568" w:rsidRDefault="00652568" w:rsidP="00292E90">
      <w:pPr>
        <w:spacing w:line="240" w:lineRule="auto"/>
        <w:ind w:hanging="11"/>
      </w:pPr>
    </w:p>
    <w:p w14:paraId="5C3826EB" w14:textId="77777777" w:rsidR="00652568" w:rsidRDefault="00652568" w:rsidP="00292E90">
      <w:pPr>
        <w:spacing w:line="240" w:lineRule="auto"/>
        <w:ind w:hanging="11"/>
      </w:pPr>
    </w:p>
    <w:p w14:paraId="258088D6" w14:textId="77777777" w:rsidR="00652568" w:rsidRDefault="00652568" w:rsidP="00292E90">
      <w:pPr>
        <w:spacing w:line="240" w:lineRule="auto"/>
        <w:ind w:hanging="11"/>
      </w:pPr>
    </w:p>
    <w:p w14:paraId="2AA40EA4" w14:textId="77777777" w:rsidR="00652568" w:rsidRDefault="00652568" w:rsidP="00292E90">
      <w:pPr>
        <w:spacing w:line="240" w:lineRule="auto"/>
        <w:ind w:hanging="11"/>
      </w:pPr>
    </w:p>
    <w:p w14:paraId="7E78AACD" w14:textId="77777777" w:rsidR="00652568" w:rsidRDefault="00652568" w:rsidP="00292E90">
      <w:pPr>
        <w:spacing w:line="240" w:lineRule="auto"/>
        <w:ind w:hanging="11"/>
      </w:pPr>
    </w:p>
    <w:p w14:paraId="5F2A454A" w14:textId="77777777" w:rsidR="00652568" w:rsidRDefault="00652568" w:rsidP="00292E90">
      <w:pPr>
        <w:spacing w:line="240" w:lineRule="auto"/>
        <w:ind w:hanging="11"/>
      </w:pPr>
    </w:p>
    <w:p w14:paraId="6D4238B8" w14:textId="77777777" w:rsidR="00652568" w:rsidRDefault="00652568" w:rsidP="00292E90">
      <w:pPr>
        <w:spacing w:line="240" w:lineRule="auto"/>
        <w:ind w:hanging="11"/>
      </w:pPr>
    </w:p>
    <w:p w14:paraId="2AD96994" w14:textId="77777777" w:rsidR="00652568" w:rsidRDefault="00652568" w:rsidP="00292E90">
      <w:pPr>
        <w:spacing w:line="240" w:lineRule="auto"/>
        <w:ind w:hanging="11"/>
      </w:pPr>
    </w:p>
    <w:p w14:paraId="5E86ACBA" w14:textId="77777777" w:rsidR="00652568" w:rsidRDefault="00652568" w:rsidP="00292E90">
      <w:pPr>
        <w:spacing w:line="240" w:lineRule="auto"/>
        <w:ind w:hanging="11"/>
      </w:pPr>
    </w:p>
    <w:p w14:paraId="25D33146" w14:textId="77777777" w:rsidR="00652568" w:rsidRDefault="00652568" w:rsidP="00292E90">
      <w:pPr>
        <w:spacing w:line="240" w:lineRule="auto"/>
        <w:ind w:hanging="11"/>
      </w:pPr>
    </w:p>
    <w:p w14:paraId="797D0129" w14:textId="77777777" w:rsidR="00652568" w:rsidRDefault="00652568" w:rsidP="00292E90">
      <w:pPr>
        <w:spacing w:line="240" w:lineRule="auto"/>
        <w:ind w:hanging="11"/>
      </w:pPr>
    </w:p>
    <w:p w14:paraId="4D173F1A" w14:textId="77777777" w:rsidR="00652568" w:rsidRDefault="00652568" w:rsidP="00292E90">
      <w:pPr>
        <w:spacing w:line="240" w:lineRule="auto"/>
        <w:ind w:hanging="11"/>
      </w:pPr>
    </w:p>
    <w:p w14:paraId="19206E32" w14:textId="77777777" w:rsidR="00652568" w:rsidRDefault="00652568" w:rsidP="00292E90">
      <w:pPr>
        <w:spacing w:line="240" w:lineRule="auto"/>
        <w:ind w:hanging="11"/>
      </w:pPr>
    </w:p>
    <w:p w14:paraId="16795556" w14:textId="77777777" w:rsidR="00652568" w:rsidRDefault="00652568" w:rsidP="00292E90">
      <w:pPr>
        <w:spacing w:line="240" w:lineRule="auto"/>
        <w:ind w:hanging="11"/>
      </w:pPr>
    </w:p>
    <w:p w14:paraId="634BE01F" w14:textId="77777777" w:rsidR="00652568" w:rsidRDefault="00652568" w:rsidP="00292E90">
      <w:pPr>
        <w:spacing w:line="240" w:lineRule="auto"/>
        <w:ind w:hanging="11"/>
      </w:pPr>
    </w:p>
    <w:p w14:paraId="04F443A8" w14:textId="77777777" w:rsidR="00652568" w:rsidRDefault="00652568" w:rsidP="00292E90">
      <w:pPr>
        <w:spacing w:line="240" w:lineRule="auto"/>
        <w:ind w:hanging="11"/>
      </w:pPr>
    </w:p>
    <w:p w14:paraId="6E7D3A34" w14:textId="77777777" w:rsidR="00652568" w:rsidRDefault="00652568" w:rsidP="00292E90">
      <w:pPr>
        <w:spacing w:line="240" w:lineRule="auto"/>
        <w:ind w:hanging="11"/>
      </w:pPr>
    </w:p>
    <w:p w14:paraId="2104B9D9" w14:textId="77777777" w:rsidR="00652568" w:rsidRDefault="00652568" w:rsidP="00292E90">
      <w:pPr>
        <w:spacing w:line="240" w:lineRule="auto"/>
        <w:ind w:hanging="11"/>
      </w:pPr>
    </w:p>
    <w:p w14:paraId="3DB9D97B" w14:textId="77777777" w:rsidR="00652568" w:rsidRDefault="00652568" w:rsidP="00292E90">
      <w:pPr>
        <w:spacing w:line="240" w:lineRule="auto"/>
        <w:ind w:hanging="11"/>
      </w:pPr>
    </w:p>
    <w:p w14:paraId="03A3C390" w14:textId="77777777" w:rsidR="00652568" w:rsidRDefault="00652568" w:rsidP="00292E90">
      <w:pPr>
        <w:spacing w:line="240" w:lineRule="auto"/>
        <w:ind w:hanging="11"/>
      </w:pPr>
    </w:p>
    <w:p w14:paraId="7C66FC3B" w14:textId="77777777" w:rsidR="00652568" w:rsidRDefault="00652568" w:rsidP="00292E90">
      <w:pPr>
        <w:spacing w:line="240" w:lineRule="auto"/>
        <w:ind w:hanging="11"/>
      </w:pPr>
    </w:p>
    <w:p w14:paraId="20685143" w14:textId="77777777" w:rsidR="00652568" w:rsidRDefault="00652568" w:rsidP="00292E90">
      <w:pPr>
        <w:spacing w:line="240" w:lineRule="auto"/>
        <w:ind w:hanging="11"/>
      </w:pPr>
    </w:p>
    <w:p w14:paraId="4D89FAAF" w14:textId="77777777" w:rsidR="00652568" w:rsidRDefault="00652568" w:rsidP="00292E90">
      <w:pPr>
        <w:spacing w:line="240" w:lineRule="auto"/>
        <w:ind w:hanging="11"/>
      </w:pPr>
    </w:p>
    <w:p w14:paraId="2A28335B" w14:textId="77777777" w:rsidR="00652568" w:rsidRDefault="00652568" w:rsidP="00292E90">
      <w:pPr>
        <w:spacing w:line="240" w:lineRule="auto"/>
        <w:ind w:hanging="11"/>
      </w:pPr>
    </w:p>
    <w:p w14:paraId="5CA2E5C8" w14:textId="77777777" w:rsidR="00652568" w:rsidRDefault="00652568" w:rsidP="00292E90">
      <w:pPr>
        <w:spacing w:line="240" w:lineRule="auto"/>
        <w:ind w:hanging="11"/>
      </w:pPr>
    </w:p>
    <w:p w14:paraId="746B4852" w14:textId="77777777" w:rsidR="00652568" w:rsidRDefault="00652568" w:rsidP="00292E90">
      <w:pPr>
        <w:spacing w:line="240" w:lineRule="auto"/>
        <w:ind w:hanging="11"/>
      </w:pPr>
    </w:p>
    <w:p w14:paraId="407ACCFB" w14:textId="77777777" w:rsidR="00652568" w:rsidRDefault="00652568" w:rsidP="00292E90">
      <w:pPr>
        <w:spacing w:line="240" w:lineRule="auto"/>
        <w:ind w:hanging="11"/>
      </w:pPr>
    </w:p>
    <w:p w14:paraId="423BE060" w14:textId="77777777" w:rsidR="00652568" w:rsidRDefault="00652568" w:rsidP="00292E90">
      <w:pPr>
        <w:spacing w:line="240" w:lineRule="auto"/>
        <w:ind w:hanging="11"/>
      </w:pPr>
    </w:p>
    <w:p w14:paraId="087118BC" w14:textId="77777777" w:rsidR="00652568" w:rsidRDefault="00652568" w:rsidP="00292E90">
      <w:pPr>
        <w:spacing w:line="240" w:lineRule="auto"/>
        <w:ind w:hanging="11"/>
      </w:pPr>
    </w:p>
    <w:p w14:paraId="5F8C72EB" w14:textId="77777777" w:rsidR="00652568" w:rsidRDefault="00652568" w:rsidP="00292E90">
      <w:pPr>
        <w:spacing w:line="240" w:lineRule="auto"/>
        <w:ind w:hanging="11"/>
      </w:pPr>
    </w:p>
    <w:p w14:paraId="77006134" w14:textId="77777777" w:rsidR="00652568" w:rsidRDefault="00652568" w:rsidP="00292E90">
      <w:pPr>
        <w:spacing w:line="240" w:lineRule="auto"/>
        <w:ind w:hanging="11"/>
      </w:pPr>
    </w:p>
    <w:p w14:paraId="7D34941B" w14:textId="77777777" w:rsidR="00652568" w:rsidRDefault="00652568" w:rsidP="00292E90">
      <w:pPr>
        <w:spacing w:line="240" w:lineRule="auto"/>
        <w:ind w:hanging="11"/>
      </w:pPr>
    </w:p>
    <w:p w14:paraId="1863B8C5" w14:textId="77777777" w:rsidR="00652568" w:rsidRDefault="00652568" w:rsidP="00292E90">
      <w:pPr>
        <w:spacing w:line="240" w:lineRule="auto"/>
        <w:ind w:hanging="11"/>
      </w:pPr>
    </w:p>
    <w:p w14:paraId="3027AB1A" w14:textId="77777777" w:rsidR="00652568" w:rsidRDefault="00652568" w:rsidP="00292E90">
      <w:pPr>
        <w:spacing w:line="240" w:lineRule="auto"/>
        <w:ind w:hanging="11"/>
      </w:pPr>
    </w:p>
    <w:p w14:paraId="469DB8DA" w14:textId="77777777" w:rsidR="00652568" w:rsidRDefault="00652568" w:rsidP="00292E90">
      <w:pPr>
        <w:spacing w:line="240" w:lineRule="auto"/>
        <w:ind w:hanging="11"/>
      </w:pPr>
    </w:p>
    <w:p w14:paraId="2D6D6649" w14:textId="77777777" w:rsidR="00652568" w:rsidRDefault="00652568" w:rsidP="00292E90">
      <w:pPr>
        <w:spacing w:line="240" w:lineRule="auto"/>
        <w:ind w:hanging="11"/>
      </w:pPr>
    </w:p>
    <w:p w14:paraId="23AE8705" w14:textId="4AA16A07" w:rsidR="00292E90" w:rsidRDefault="00292E90" w:rsidP="00292E90">
      <w:pPr>
        <w:spacing w:line="240" w:lineRule="auto"/>
        <w:ind w:hanging="11"/>
      </w:pPr>
      <w:r>
        <w:lastRenderedPageBreak/>
        <w:t>A</w:t>
      </w:r>
      <w:r w:rsidRPr="0059421B">
        <w:t xml:space="preserve">ppendix </w:t>
      </w:r>
      <w:r w:rsidR="00E579FC">
        <w:t>3</w:t>
      </w:r>
      <w:r w:rsidR="007C1818">
        <w:t>.</w:t>
      </w:r>
    </w:p>
    <w:p w14:paraId="22547FC7" w14:textId="77777777" w:rsidR="007C1818" w:rsidRPr="0059421B" w:rsidRDefault="007C1818" w:rsidP="00292E90">
      <w:pPr>
        <w:spacing w:line="240" w:lineRule="auto"/>
        <w:ind w:hanging="11"/>
      </w:pPr>
    </w:p>
    <w:p w14:paraId="797E9A2A" w14:textId="77777777" w:rsidR="00292E90" w:rsidRDefault="00292E90" w:rsidP="00292E90">
      <w:pPr>
        <w:spacing w:line="240" w:lineRule="auto"/>
        <w:ind w:hanging="11"/>
      </w:pPr>
      <w:r>
        <w:t>EPIFANY Grading Scale: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6451"/>
      </w:tblGrid>
      <w:tr w:rsidR="00292E90" w:rsidRPr="00882AD2" w14:paraId="6F0B963C" w14:textId="77777777" w:rsidTr="00F17A12">
        <w:trPr>
          <w:trHeight w:val="555"/>
          <w:tblCellSpacing w:w="0" w:type="dxa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24D0" w14:textId="77777777" w:rsidR="00292E90" w:rsidRPr="00882AD2" w:rsidRDefault="00292E90" w:rsidP="00F17A12">
            <w:pPr>
              <w:ind w:left="142"/>
              <w:rPr>
                <w:sz w:val="22"/>
                <w:lang w:val="en-GB"/>
              </w:rPr>
            </w:pPr>
            <w:r w:rsidRPr="00882AD2">
              <w:rPr>
                <w:b/>
                <w:bCs/>
                <w:sz w:val="22"/>
              </w:rPr>
              <w:t>GRADE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F43E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b/>
                <w:bCs/>
                <w:sz w:val="22"/>
              </w:rPr>
              <w:t>DESCRIPTION</w:t>
            </w:r>
          </w:p>
        </w:tc>
      </w:tr>
      <w:tr w:rsidR="00292E90" w:rsidRPr="00882AD2" w14:paraId="182D15A4" w14:textId="77777777" w:rsidTr="00F17A12">
        <w:trPr>
          <w:trHeight w:val="600"/>
          <w:tblCellSpacing w:w="0" w:type="dxa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5FFA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5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CE1D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An error that resulted in SERIOUS/CATASTROPHIC HARM to patient.</w:t>
            </w:r>
          </w:p>
        </w:tc>
      </w:tr>
      <w:tr w:rsidR="00292E90" w:rsidRPr="00882AD2" w14:paraId="2C7CD95E" w14:textId="77777777" w:rsidTr="00F17A12">
        <w:trPr>
          <w:trHeight w:val="840"/>
          <w:tblCellSpacing w:w="0" w:type="dxa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E5A9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4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36E5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An error that resulted in MAJOR HARM to patient. Major harm is that requiring increased hospital stay or significant morbidity.</w:t>
            </w:r>
          </w:p>
        </w:tc>
      </w:tr>
      <w:tr w:rsidR="00292E90" w:rsidRPr="00882AD2" w14:paraId="00861EDB" w14:textId="77777777" w:rsidTr="00F17A12">
        <w:trPr>
          <w:trHeight w:val="840"/>
          <w:tblCellSpacing w:w="0" w:type="dxa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AD76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3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5830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An error that resulted in MODERATE HARM to patient.  Moderate harm is that requiring treatment with another drug OR cancellation/postponement of treatment.</w:t>
            </w:r>
          </w:p>
        </w:tc>
      </w:tr>
      <w:tr w:rsidR="00292E90" w:rsidRPr="00882AD2" w14:paraId="3ED983FF" w14:textId="77777777" w:rsidTr="00F17A12">
        <w:trPr>
          <w:trHeight w:val="840"/>
          <w:tblCellSpacing w:w="0" w:type="dxa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5CF3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2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A242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An error that resulted in MINOR HARM to patient. Minor harm is that requiring minor (non-drug) treatment or treatment change.</w:t>
            </w:r>
          </w:p>
        </w:tc>
      </w:tr>
      <w:tr w:rsidR="00292E90" w:rsidRPr="00882AD2" w14:paraId="53F12D1D" w14:textId="77777777" w:rsidTr="00F17A12">
        <w:trPr>
          <w:trHeight w:val="555"/>
          <w:tblCellSpacing w:w="0" w:type="dxa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B0CE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1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A4DB" w14:textId="77777777" w:rsidR="00292E90" w:rsidRPr="00882AD2" w:rsidRDefault="00292E90" w:rsidP="00F17A12">
            <w:pPr>
              <w:ind w:left="360"/>
              <w:rPr>
                <w:sz w:val="22"/>
                <w:lang w:val="en-GB"/>
              </w:rPr>
            </w:pPr>
            <w:r w:rsidRPr="00882AD2">
              <w:rPr>
                <w:sz w:val="22"/>
              </w:rPr>
              <w:t>No harm or only minor harm – not requiring “treatment”</w:t>
            </w:r>
          </w:p>
        </w:tc>
      </w:tr>
    </w:tbl>
    <w:p w14:paraId="665C9D48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0A0AB4A4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57C0B71E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173DD4F0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3A1EC943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4A1BF385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2D5A098A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22CACE6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36F1F57B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B634852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2ADA6D6C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18A496FD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D4117B6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45379CF9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0A8FE3A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175E2CCA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05BFA6CC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7ADB2218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3C2A4283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A313BE9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0FFCB9B8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51580B8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43C42FBB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3DAF3146" w14:textId="77777777" w:rsidR="00652568" w:rsidRDefault="00652568" w:rsidP="00292E90">
      <w:pPr>
        <w:spacing w:line="240" w:lineRule="auto"/>
        <w:jc w:val="both"/>
        <w:rPr>
          <w:szCs w:val="24"/>
        </w:rPr>
      </w:pPr>
    </w:p>
    <w:p w14:paraId="018DE00A" w14:textId="56029F89" w:rsidR="00292E90" w:rsidRPr="005F03A5" w:rsidRDefault="00E579FC" w:rsidP="00292E90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Appendix 4</w:t>
      </w:r>
      <w:r w:rsidR="00292E90">
        <w:rPr>
          <w:szCs w:val="24"/>
        </w:rPr>
        <w:t>. Combination of</w:t>
      </w:r>
      <w:r w:rsidR="00292E90" w:rsidRPr="005F03A5">
        <w:rPr>
          <w:szCs w:val="24"/>
        </w:rPr>
        <w:t xml:space="preserve"> flags predictive of</w:t>
      </w:r>
      <w:r w:rsidR="00292E90">
        <w:rPr>
          <w:szCs w:val="24"/>
        </w:rPr>
        <w:t xml:space="preserve"> risk of one</w:t>
      </w:r>
      <w:r w:rsidR="00292E90" w:rsidRPr="005F03A5">
        <w:rPr>
          <w:szCs w:val="24"/>
        </w:rPr>
        <w:t xml:space="preserve"> or more unintentional medication discrepancies.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</w:tblGrid>
      <w:tr w:rsidR="00292E90" w:rsidRPr="00F360BB" w14:paraId="0AC290E9" w14:textId="77777777" w:rsidTr="00F17A12">
        <w:tc>
          <w:tcPr>
            <w:tcW w:w="2943" w:type="dxa"/>
            <w:shd w:val="clear" w:color="auto" w:fill="auto"/>
          </w:tcPr>
          <w:p w14:paraId="3AD8A278" w14:textId="77777777" w:rsidR="00292E90" w:rsidRPr="00045E12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045E12">
              <w:rPr>
                <w:szCs w:val="24"/>
              </w:rPr>
              <w:t>Flags</w:t>
            </w:r>
          </w:p>
        </w:tc>
        <w:tc>
          <w:tcPr>
            <w:tcW w:w="4678" w:type="dxa"/>
            <w:shd w:val="clear" w:color="auto" w:fill="auto"/>
          </w:tcPr>
          <w:p w14:paraId="23DDB056" w14:textId="77777777" w:rsidR="00292E90" w:rsidRPr="00045E12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Regression coefficient</w:t>
            </w:r>
            <w:r w:rsidRPr="00045E12">
              <w:rPr>
                <w:szCs w:val="24"/>
              </w:rPr>
              <w:t xml:space="preserve"> for each flag</w:t>
            </w:r>
          </w:p>
        </w:tc>
      </w:tr>
      <w:tr w:rsidR="00292E90" w:rsidRPr="00F360BB" w14:paraId="6F6C38C4" w14:textId="77777777" w:rsidTr="00F17A12">
        <w:tc>
          <w:tcPr>
            <w:tcW w:w="2943" w:type="dxa"/>
            <w:shd w:val="clear" w:color="auto" w:fill="auto"/>
          </w:tcPr>
          <w:p w14:paraId="653E00ED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00FA7">
              <w:rPr>
                <w:szCs w:val="24"/>
              </w:rPr>
              <w:t>&gt;</w:t>
            </w:r>
            <w:r>
              <w:rPr>
                <w:szCs w:val="24"/>
              </w:rPr>
              <w:t>8 Regular Admission Medicines</w:t>
            </w:r>
          </w:p>
        </w:tc>
        <w:tc>
          <w:tcPr>
            <w:tcW w:w="4678" w:type="dxa"/>
            <w:shd w:val="clear" w:color="auto" w:fill="auto"/>
          </w:tcPr>
          <w:p w14:paraId="16B66C7A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0.6</w:t>
            </w:r>
          </w:p>
        </w:tc>
      </w:tr>
      <w:tr w:rsidR="00292E90" w:rsidRPr="00F360BB" w14:paraId="46E8A517" w14:textId="77777777" w:rsidTr="00F17A12">
        <w:tc>
          <w:tcPr>
            <w:tcW w:w="2943" w:type="dxa"/>
            <w:shd w:val="clear" w:color="auto" w:fill="auto"/>
            <w:vAlign w:val="center"/>
          </w:tcPr>
          <w:p w14:paraId="25CABD1A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Readmit ≤30 days</w:t>
            </w:r>
          </w:p>
        </w:tc>
        <w:tc>
          <w:tcPr>
            <w:tcW w:w="4678" w:type="dxa"/>
            <w:shd w:val="clear" w:color="auto" w:fill="auto"/>
          </w:tcPr>
          <w:p w14:paraId="6DC558B2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</w:t>
            </w:r>
          </w:p>
        </w:tc>
      </w:tr>
    </w:tbl>
    <w:p w14:paraId="66124A15" w14:textId="77777777" w:rsidR="00292E90" w:rsidRDefault="00292E90" w:rsidP="00292E90"/>
    <w:p w14:paraId="66B0E297" w14:textId="77777777" w:rsidR="00292E90" w:rsidRDefault="00292E90" w:rsidP="00292E90">
      <w:pPr>
        <w:spacing w:line="240" w:lineRule="auto"/>
      </w:pPr>
    </w:p>
    <w:p w14:paraId="2AF1A854" w14:textId="77777777" w:rsidR="00292E90" w:rsidRDefault="00292E90" w:rsidP="00292E90">
      <w:pPr>
        <w:spacing w:line="240" w:lineRule="auto"/>
        <w:ind w:hanging="11"/>
      </w:pPr>
    </w:p>
    <w:p w14:paraId="13D36075" w14:textId="77777777" w:rsidR="00292E90" w:rsidRDefault="00292E90" w:rsidP="00292E90">
      <w:pPr>
        <w:spacing w:line="240" w:lineRule="auto"/>
        <w:ind w:hanging="11"/>
      </w:pPr>
    </w:p>
    <w:p w14:paraId="2F2815FD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2FE04834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4A3EBCB2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63D9CF48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35F1D619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19AF47DD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7464A766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5476E426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701B5573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63AA2033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10A23573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39E925FD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40633101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385BC1E4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332A0917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6EAB9936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48218EFF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4A77B982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6E148724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249164E5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78D85F8F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1FD6DDE6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110B783B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00102157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05DBB909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59564B1D" w14:textId="77777777" w:rsidR="00292E90" w:rsidRDefault="00292E90" w:rsidP="00292E90">
      <w:pPr>
        <w:spacing w:line="360" w:lineRule="auto"/>
        <w:rPr>
          <w:szCs w:val="24"/>
          <w:lang w:val="en-US"/>
        </w:rPr>
      </w:pPr>
    </w:p>
    <w:p w14:paraId="5E8C6B8C" w14:textId="77777777" w:rsidR="00292E90" w:rsidRPr="00AB4B7D" w:rsidRDefault="00E579FC" w:rsidP="00292E90">
      <w:pPr>
        <w:spacing w:line="360" w:lineRule="auto"/>
        <w:rPr>
          <w:color w:val="auto"/>
          <w:szCs w:val="24"/>
          <w:lang w:val="en-US"/>
        </w:rPr>
      </w:pPr>
      <w:r>
        <w:rPr>
          <w:szCs w:val="24"/>
          <w:lang w:val="en-US"/>
        </w:rPr>
        <w:lastRenderedPageBreak/>
        <w:t>Appendix 5</w:t>
      </w:r>
      <w:r w:rsidR="00292E90">
        <w:rPr>
          <w:szCs w:val="24"/>
          <w:lang w:val="en-US"/>
        </w:rPr>
        <w:t>.</w:t>
      </w:r>
      <w:r w:rsidR="00292E90" w:rsidRPr="00AB4B7D">
        <w:rPr>
          <w:szCs w:val="24"/>
          <w:lang w:val="en-US"/>
        </w:rPr>
        <w:t xml:space="preserve"> Re</w:t>
      </w:r>
      <w:r w:rsidR="00292E90">
        <w:rPr>
          <w:szCs w:val="24"/>
          <w:lang w:val="en-US"/>
        </w:rPr>
        <w:t xml:space="preserve">ceiver Operative </w:t>
      </w:r>
      <w:r w:rsidR="00292E90" w:rsidRPr="00AB4B7D">
        <w:rPr>
          <w:szCs w:val="24"/>
          <w:lang w:val="en-US"/>
        </w:rPr>
        <w:t>C</w:t>
      </w:r>
      <w:r w:rsidR="00292E90">
        <w:rPr>
          <w:szCs w:val="24"/>
          <w:lang w:val="en-US"/>
        </w:rPr>
        <w:t xml:space="preserve">haracteristic (ROC) curve </w:t>
      </w:r>
      <w:r w:rsidR="00292E90" w:rsidRPr="00AB4B7D">
        <w:rPr>
          <w:szCs w:val="24"/>
          <w:lang w:val="en-US"/>
        </w:rPr>
        <w:t>for combined scores</w:t>
      </w:r>
      <w:r w:rsidR="00000FA7">
        <w:rPr>
          <w:szCs w:val="24"/>
          <w:lang w:val="en-US"/>
        </w:rPr>
        <w:t xml:space="preserve"> of flags: &gt;</w:t>
      </w:r>
      <w:r w:rsidR="00292E90">
        <w:rPr>
          <w:szCs w:val="24"/>
          <w:lang w:val="en-US"/>
        </w:rPr>
        <w:t>8 admission medications and readmission in 30 days,</w:t>
      </w:r>
      <w:r w:rsidR="00292E90" w:rsidRPr="00AB4B7D">
        <w:rPr>
          <w:szCs w:val="24"/>
          <w:lang w:val="en-US"/>
        </w:rPr>
        <w:t xml:space="preserve"> </w:t>
      </w:r>
      <w:r w:rsidR="00292E90">
        <w:rPr>
          <w:color w:val="auto"/>
          <w:szCs w:val="24"/>
          <w:lang w:val="en-US"/>
        </w:rPr>
        <w:t xml:space="preserve">to predict </w:t>
      </w:r>
      <w:r w:rsidR="00292E90" w:rsidRPr="00AB4B7D">
        <w:rPr>
          <w:color w:val="auto"/>
          <w:szCs w:val="24"/>
          <w:lang w:val="en-US"/>
        </w:rPr>
        <w:t>≥ 1</w:t>
      </w:r>
      <w:r w:rsidR="00292E90">
        <w:rPr>
          <w:color w:val="auto"/>
          <w:szCs w:val="24"/>
          <w:lang w:val="en-US"/>
        </w:rPr>
        <w:t xml:space="preserve"> </w:t>
      </w:r>
      <w:r w:rsidR="00292E90" w:rsidRPr="00AB4B7D">
        <w:rPr>
          <w:color w:val="auto"/>
          <w:szCs w:val="24"/>
          <w:lang w:val="en-US"/>
        </w:rPr>
        <w:t xml:space="preserve">unintentional medication discrepancies. </w:t>
      </w:r>
      <w:r w:rsidR="00292E90" w:rsidRPr="000C1AB1">
        <w:rPr>
          <w:b/>
          <w:color w:val="auto"/>
          <w:szCs w:val="24"/>
          <w:lang w:val="en-US"/>
        </w:rPr>
        <w:t>AUC = 0.7205</w:t>
      </w:r>
    </w:p>
    <w:p w14:paraId="4C06C395" w14:textId="77777777" w:rsidR="00292E90" w:rsidRDefault="00292E90" w:rsidP="00292E90">
      <w:pPr>
        <w:spacing w:line="240" w:lineRule="auto"/>
        <w:ind w:hanging="11"/>
      </w:pPr>
      <w:r>
        <w:rPr>
          <w:noProof/>
          <w:lang w:val="en-GB" w:eastAsia="en-GB"/>
        </w:rPr>
        <w:drawing>
          <wp:inline distT="0" distB="0" distL="0" distR="0" wp14:anchorId="676F32BE" wp14:editId="2FFA9A16">
            <wp:extent cx="5731510" cy="3995200"/>
            <wp:effectExtent l="19050" t="0" r="2540" b="0"/>
            <wp:docPr id="1" name="Picture 1" descr="D:\ART validation Manuscript\Older\JCPT 2015\FINAL copies for submission\Fig 3. ROC cur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T validation Manuscript\Older\JCPT 2015\FINAL copies for submission\Fig 3. ROC curve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A1048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5D9F7C3C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4A6E0115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92C630F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36E12DE3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7AA259E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55721B87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1596F113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5AAB1003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6F922013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53E562B3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22085927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3550E4C4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B65047F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6D6A7F69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29A6C1FA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7D6C5DC5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4156597C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28B3BAE5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1215BCA9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66F34E39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1F0CCEB4" w14:textId="77777777" w:rsidR="00292E90" w:rsidRDefault="00292E90" w:rsidP="00292E90">
      <w:pPr>
        <w:spacing w:line="240" w:lineRule="auto"/>
        <w:jc w:val="both"/>
        <w:rPr>
          <w:szCs w:val="24"/>
        </w:rPr>
      </w:pPr>
    </w:p>
    <w:p w14:paraId="49629BBE" w14:textId="67B39D9A" w:rsidR="00292E90" w:rsidRPr="005F03A5" w:rsidRDefault="00E579FC" w:rsidP="00292E90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Appendix 6</w:t>
      </w:r>
      <w:r w:rsidR="007C1818">
        <w:rPr>
          <w:szCs w:val="24"/>
        </w:rPr>
        <w:t>.</w:t>
      </w:r>
      <w:r w:rsidR="00292E90">
        <w:rPr>
          <w:szCs w:val="24"/>
        </w:rPr>
        <w:t xml:space="preserve"> Combination of</w:t>
      </w:r>
      <w:r w:rsidR="00292E90" w:rsidRPr="005F03A5">
        <w:rPr>
          <w:szCs w:val="24"/>
        </w:rPr>
        <w:t xml:space="preserve"> flags predictive of</w:t>
      </w:r>
      <w:r w:rsidR="00292E90">
        <w:rPr>
          <w:szCs w:val="24"/>
        </w:rPr>
        <w:t xml:space="preserve"> risk of</w:t>
      </w:r>
      <w:r w:rsidR="00292E90" w:rsidRPr="005F03A5">
        <w:rPr>
          <w:szCs w:val="24"/>
        </w:rPr>
        <w:t xml:space="preserve"> four or more unintentional medication discrepancies.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</w:tblGrid>
      <w:tr w:rsidR="00292E90" w:rsidRPr="00F360BB" w14:paraId="47493D41" w14:textId="77777777" w:rsidTr="00F17A12">
        <w:tc>
          <w:tcPr>
            <w:tcW w:w="2943" w:type="dxa"/>
            <w:shd w:val="clear" w:color="auto" w:fill="auto"/>
          </w:tcPr>
          <w:p w14:paraId="66FDA562" w14:textId="77777777" w:rsidR="00292E90" w:rsidRPr="00045E12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045E12">
              <w:rPr>
                <w:szCs w:val="24"/>
              </w:rPr>
              <w:t>Flags</w:t>
            </w:r>
          </w:p>
        </w:tc>
        <w:tc>
          <w:tcPr>
            <w:tcW w:w="4678" w:type="dxa"/>
            <w:shd w:val="clear" w:color="auto" w:fill="auto"/>
          </w:tcPr>
          <w:p w14:paraId="2BBE86E1" w14:textId="77777777" w:rsidR="00292E90" w:rsidRPr="00045E12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045E12">
              <w:rPr>
                <w:szCs w:val="24"/>
              </w:rPr>
              <w:t>Regression coefficient for each flag</w:t>
            </w:r>
          </w:p>
        </w:tc>
      </w:tr>
      <w:tr w:rsidR="00292E90" w:rsidRPr="00F360BB" w14:paraId="65056334" w14:textId="77777777" w:rsidTr="00F17A12">
        <w:tc>
          <w:tcPr>
            <w:tcW w:w="2943" w:type="dxa"/>
            <w:shd w:val="clear" w:color="auto" w:fill="auto"/>
          </w:tcPr>
          <w:p w14:paraId="5FBFC672" w14:textId="77777777" w:rsidR="00292E90" w:rsidRPr="00F360BB" w:rsidRDefault="00000FA7" w:rsidP="00F17A1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&gt;</w:t>
            </w:r>
            <w:r w:rsidR="00292E90">
              <w:rPr>
                <w:szCs w:val="24"/>
              </w:rPr>
              <w:t>8 Regular Admission Medicines</w:t>
            </w:r>
          </w:p>
        </w:tc>
        <w:tc>
          <w:tcPr>
            <w:tcW w:w="4678" w:type="dxa"/>
            <w:shd w:val="clear" w:color="auto" w:fill="auto"/>
          </w:tcPr>
          <w:p w14:paraId="5B2CE977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0.7</w:t>
            </w:r>
          </w:p>
        </w:tc>
      </w:tr>
      <w:tr w:rsidR="00292E90" w:rsidRPr="00F360BB" w14:paraId="360338E9" w14:textId="77777777" w:rsidTr="00F17A12">
        <w:tc>
          <w:tcPr>
            <w:tcW w:w="2943" w:type="dxa"/>
            <w:shd w:val="clear" w:color="auto" w:fill="auto"/>
            <w:vAlign w:val="center"/>
          </w:tcPr>
          <w:p w14:paraId="1ABBAE17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Antiepileptic Medicines</w:t>
            </w:r>
          </w:p>
        </w:tc>
        <w:tc>
          <w:tcPr>
            <w:tcW w:w="4678" w:type="dxa"/>
            <w:shd w:val="clear" w:color="auto" w:fill="auto"/>
          </w:tcPr>
          <w:p w14:paraId="2D1266EC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1.1</w:t>
            </w:r>
          </w:p>
        </w:tc>
      </w:tr>
      <w:tr w:rsidR="00292E90" w:rsidRPr="00F360BB" w14:paraId="01607D35" w14:textId="77777777" w:rsidTr="00F17A12">
        <w:tc>
          <w:tcPr>
            <w:tcW w:w="2943" w:type="dxa"/>
            <w:shd w:val="clear" w:color="auto" w:fill="auto"/>
            <w:vAlign w:val="center"/>
          </w:tcPr>
          <w:p w14:paraId="34AB1FEE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Diabetic Medicine</w:t>
            </w:r>
            <w:r>
              <w:rPr>
                <w:szCs w:val="24"/>
              </w:rPr>
              <w:t>s</w:t>
            </w:r>
          </w:p>
        </w:tc>
        <w:tc>
          <w:tcPr>
            <w:tcW w:w="4678" w:type="dxa"/>
            <w:shd w:val="clear" w:color="auto" w:fill="auto"/>
          </w:tcPr>
          <w:p w14:paraId="23F4CCC6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0.5</w:t>
            </w:r>
          </w:p>
        </w:tc>
      </w:tr>
      <w:tr w:rsidR="00292E90" w:rsidRPr="00F360BB" w14:paraId="2358751D" w14:textId="77777777" w:rsidTr="00F17A12">
        <w:trPr>
          <w:trHeight w:val="163"/>
        </w:trPr>
        <w:tc>
          <w:tcPr>
            <w:tcW w:w="2943" w:type="dxa"/>
            <w:shd w:val="clear" w:color="auto" w:fill="auto"/>
          </w:tcPr>
          <w:p w14:paraId="6DB01359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English Difficulty</w:t>
            </w:r>
          </w:p>
        </w:tc>
        <w:tc>
          <w:tcPr>
            <w:tcW w:w="4678" w:type="dxa"/>
            <w:shd w:val="clear" w:color="auto" w:fill="auto"/>
          </w:tcPr>
          <w:p w14:paraId="16E326E9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0.9</w:t>
            </w:r>
          </w:p>
        </w:tc>
      </w:tr>
      <w:tr w:rsidR="00292E90" w:rsidRPr="00F360BB" w14:paraId="38B2288A" w14:textId="77777777" w:rsidTr="00F17A12">
        <w:trPr>
          <w:trHeight w:val="70"/>
        </w:trPr>
        <w:tc>
          <w:tcPr>
            <w:tcW w:w="2943" w:type="dxa"/>
            <w:shd w:val="clear" w:color="auto" w:fill="auto"/>
          </w:tcPr>
          <w:p w14:paraId="1391A36B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Readmit ≤30 days</w:t>
            </w:r>
          </w:p>
        </w:tc>
        <w:tc>
          <w:tcPr>
            <w:tcW w:w="4678" w:type="dxa"/>
            <w:shd w:val="clear" w:color="auto" w:fill="auto"/>
          </w:tcPr>
          <w:p w14:paraId="5536F718" w14:textId="77777777" w:rsidR="00292E90" w:rsidRPr="00F360BB" w:rsidRDefault="00292E90" w:rsidP="00F17A12">
            <w:pPr>
              <w:spacing w:line="240" w:lineRule="auto"/>
              <w:jc w:val="center"/>
              <w:rPr>
                <w:szCs w:val="24"/>
              </w:rPr>
            </w:pPr>
            <w:r w:rsidRPr="00F360BB">
              <w:rPr>
                <w:szCs w:val="24"/>
              </w:rPr>
              <w:t>0.8</w:t>
            </w:r>
          </w:p>
        </w:tc>
      </w:tr>
    </w:tbl>
    <w:p w14:paraId="25CA014A" w14:textId="77777777" w:rsidR="00292E90" w:rsidRDefault="00292E90" w:rsidP="00292E90">
      <w:pPr>
        <w:spacing w:line="240" w:lineRule="auto"/>
        <w:ind w:hanging="11"/>
      </w:pPr>
    </w:p>
    <w:p w14:paraId="51A02E7A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0923D9D0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3F67ABB9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0733A3AA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631A60DC" w14:textId="77777777" w:rsidR="00292E90" w:rsidRDefault="00292E90" w:rsidP="00292E90">
      <w:pPr>
        <w:spacing w:line="360" w:lineRule="auto"/>
        <w:jc w:val="both"/>
        <w:rPr>
          <w:szCs w:val="24"/>
        </w:rPr>
      </w:pPr>
    </w:p>
    <w:p w14:paraId="0602C94B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33F0EEE8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3D09F7A6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426E6C14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21350DC4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0B5DCB28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284784CA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5ABE0941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4775F494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1334B62C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683D78BE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194E0B29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620EDA37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6ED66444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31D1814F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4D5A903C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265C3427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3A49744A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2EFF1699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0B12ABA6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664FBE64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1C480049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113FB0F6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537488EF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38B6222D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3E49DAA9" w14:textId="77777777" w:rsidR="00292E90" w:rsidRDefault="00292E90" w:rsidP="00292E90">
      <w:pPr>
        <w:spacing w:line="360" w:lineRule="auto"/>
        <w:rPr>
          <w:color w:val="auto"/>
          <w:szCs w:val="24"/>
        </w:rPr>
      </w:pPr>
    </w:p>
    <w:p w14:paraId="325655B8" w14:textId="77777777" w:rsidR="00292E90" w:rsidRDefault="00D41EFF" w:rsidP="00292E90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lastRenderedPageBreak/>
        <w:t>Appendix 7</w:t>
      </w:r>
      <w:r w:rsidR="00292E90">
        <w:rPr>
          <w:color w:val="auto"/>
          <w:szCs w:val="24"/>
        </w:rPr>
        <w:t>.</w:t>
      </w:r>
      <w:r w:rsidR="00292E90" w:rsidRPr="00AB4B7D">
        <w:rPr>
          <w:color w:val="auto"/>
          <w:szCs w:val="24"/>
        </w:rPr>
        <w:t xml:space="preserve"> Receiver Operative </w:t>
      </w:r>
      <w:r w:rsidR="00292E90">
        <w:rPr>
          <w:color w:val="auto"/>
          <w:szCs w:val="24"/>
        </w:rPr>
        <w:t xml:space="preserve">Characteristic </w:t>
      </w:r>
      <w:r w:rsidR="00292E90" w:rsidRPr="00AB4B7D">
        <w:rPr>
          <w:color w:val="auto"/>
          <w:szCs w:val="24"/>
        </w:rPr>
        <w:t xml:space="preserve">Curve </w:t>
      </w:r>
      <w:r w:rsidR="00292E90">
        <w:rPr>
          <w:color w:val="auto"/>
          <w:szCs w:val="24"/>
        </w:rPr>
        <w:t xml:space="preserve">(ROC) </w:t>
      </w:r>
      <w:r w:rsidR="00292E90" w:rsidRPr="00AB4B7D">
        <w:rPr>
          <w:color w:val="auto"/>
          <w:szCs w:val="24"/>
        </w:rPr>
        <w:t>of the combined scores</w:t>
      </w:r>
      <w:r w:rsidR="00292E90">
        <w:rPr>
          <w:color w:val="auto"/>
          <w:szCs w:val="24"/>
        </w:rPr>
        <w:t xml:space="preserve"> for flags: </w:t>
      </w:r>
    </w:p>
    <w:p w14:paraId="352342E5" w14:textId="77777777" w:rsidR="00292E90" w:rsidRPr="000C1AB1" w:rsidRDefault="00000FA7" w:rsidP="00292E90">
      <w:pPr>
        <w:spacing w:line="360" w:lineRule="auto"/>
        <w:rPr>
          <w:b/>
          <w:color w:val="auto"/>
          <w:szCs w:val="24"/>
          <w:lang w:val="en-US"/>
        </w:rPr>
      </w:pPr>
      <w:r>
        <w:rPr>
          <w:color w:val="auto"/>
          <w:szCs w:val="24"/>
        </w:rPr>
        <w:t>&gt;</w:t>
      </w:r>
      <w:r w:rsidR="00292E90">
        <w:rPr>
          <w:color w:val="auto"/>
          <w:szCs w:val="24"/>
        </w:rPr>
        <w:t>8 regular medications, antiepileptic medicines, diabetic medicines, English difficulty and readmission in 30 days,</w:t>
      </w:r>
      <w:r w:rsidR="00292E90" w:rsidRPr="00AB4B7D">
        <w:rPr>
          <w:color w:val="auto"/>
          <w:szCs w:val="24"/>
        </w:rPr>
        <w:t xml:space="preserve"> </w:t>
      </w:r>
      <w:r w:rsidR="00292E90" w:rsidRPr="00AB4B7D">
        <w:rPr>
          <w:color w:val="auto"/>
          <w:szCs w:val="24"/>
          <w:lang w:val="en-US"/>
        </w:rPr>
        <w:t>to predict the number of unintentional medication discrepancies ≥4</w:t>
      </w:r>
      <w:r w:rsidR="00292E90" w:rsidRPr="00AB4B7D">
        <w:rPr>
          <w:color w:val="auto"/>
          <w:szCs w:val="24"/>
        </w:rPr>
        <w:t xml:space="preserve">. </w:t>
      </w:r>
      <w:r w:rsidR="00292E90" w:rsidRPr="000C1AB1">
        <w:rPr>
          <w:b/>
          <w:color w:val="auto"/>
          <w:szCs w:val="24"/>
        </w:rPr>
        <w:t>AUC = 0.8054</w:t>
      </w:r>
    </w:p>
    <w:p w14:paraId="24CA16DF" w14:textId="77777777" w:rsidR="00292E90" w:rsidRDefault="00292E90" w:rsidP="00292E90">
      <w:pPr>
        <w:spacing w:line="240" w:lineRule="auto"/>
        <w:ind w:hanging="11"/>
      </w:pPr>
      <w:r>
        <w:rPr>
          <w:noProof/>
          <w:lang w:val="en-GB" w:eastAsia="en-GB"/>
        </w:rPr>
        <w:drawing>
          <wp:inline distT="0" distB="0" distL="0" distR="0" wp14:anchorId="3BF60985" wp14:editId="68D810C0">
            <wp:extent cx="5731510" cy="3899521"/>
            <wp:effectExtent l="19050" t="0" r="2540" b="0"/>
            <wp:docPr id="4" name="Picture 4" descr="D:\ART validation Manuscript\Older\JCPT 2015\FINAL copies for submission\Fig. 4 ROC curve 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T validation Manuscript\Older\JCPT 2015\FINAL copies for submission\Fig. 4 ROC curve II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C2E05" w14:textId="77777777" w:rsidR="00292E90" w:rsidRDefault="00292E90" w:rsidP="00292E90">
      <w:pPr>
        <w:spacing w:line="240" w:lineRule="auto"/>
        <w:ind w:hanging="11"/>
      </w:pPr>
    </w:p>
    <w:p w14:paraId="54DE5AD2" w14:textId="77777777" w:rsidR="000C4C53" w:rsidRDefault="0085446C"/>
    <w:sectPr w:rsidR="000C4C53" w:rsidSect="007010C9">
      <w:footerReference w:type="even" r:id="rId12"/>
      <w:footerReference w:type="default" r:id="rId13"/>
      <w:pgSz w:w="11906" w:h="16838" w:code="9"/>
      <w:pgMar w:top="1080" w:right="1440" w:bottom="108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3F5F" w14:textId="77777777" w:rsidR="0085446C" w:rsidRDefault="0085446C">
      <w:pPr>
        <w:spacing w:line="240" w:lineRule="auto"/>
      </w:pPr>
      <w:r>
        <w:separator/>
      </w:r>
    </w:p>
  </w:endnote>
  <w:endnote w:type="continuationSeparator" w:id="0">
    <w:p w14:paraId="73753AA0" w14:textId="77777777" w:rsidR="0085446C" w:rsidRDefault="00854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ED44" w14:textId="77777777" w:rsidR="00E67174" w:rsidRDefault="00292E90" w:rsidP="00870D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D39DE" w14:textId="77777777" w:rsidR="00E67174" w:rsidRDefault="0085446C" w:rsidP="00870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2374C" w14:textId="6CD6CE7D" w:rsidR="00E67174" w:rsidRDefault="00292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7504BA2" w14:textId="77777777" w:rsidR="00E67174" w:rsidRPr="009B4D0F" w:rsidRDefault="0085446C" w:rsidP="00870D26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9954" w14:textId="77777777" w:rsidR="0085446C" w:rsidRDefault="0085446C">
      <w:pPr>
        <w:spacing w:line="240" w:lineRule="auto"/>
      </w:pPr>
      <w:r>
        <w:separator/>
      </w:r>
    </w:p>
  </w:footnote>
  <w:footnote w:type="continuationSeparator" w:id="0">
    <w:p w14:paraId="6E18382A" w14:textId="77777777" w:rsidR="0085446C" w:rsidRDefault="00854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0"/>
    <w:rsid w:val="00000FA7"/>
    <w:rsid w:val="00077D3F"/>
    <w:rsid w:val="00093CC9"/>
    <w:rsid w:val="0009786D"/>
    <w:rsid w:val="00127DBC"/>
    <w:rsid w:val="001637A8"/>
    <w:rsid w:val="00163DCB"/>
    <w:rsid w:val="00191EF8"/>
    <w:rsid w:val="001B5812"/>
    <w:rsid w:val="001C64DC"/>
    <w:rsid w:val="001D5EAE"/>
    <w:rsid w:val="00210081"/>
    <w:rsid w:val="002565D4"/>
    <w:rsid w:val="00271909"/>
    <w:rsid w:val="00292E90"/>
    <w:rsid w:val="002D0BF1"/>
    <w:rsid w:val="00340850"/>
    <w:rsid w:val="003B3D4B"/>
    <w:rsid w:val="003D7774"/>
    <w:rsid w:val="00581EDB"/>
    <w:rsid w:val="005837A3"/>
    <w:rsid w:val="005D0268"/>
    <w:rsid w:val="00603EA9"/>
    <w:rsid w:val="00640057"/>
    <w:rsid w:val="0064061D"/>
    <w:rsid w:val="0064293B"/>
    <w:rsid w:val="00652568"/>
    <w:rsid w:val="006C2C89"/>
    <w:rsid w:val="0074428A"/>
    <w:rsid w:val="007706CC"/>
    <w:rsid w:val="00772AD8"/>
    <w:rsid w:val="00785169"/>
    <w:rsid w:val="007C1818"/>
    <w:rsid w:val="00800C32"/>
    <w:rsid w:val="0080386C"/>
    <w:rsid w:val="0085446C"/>
    <w:rsid w:val="008F2C37"/>
    <w:rsid w:val="008F673E"/>
    <w:rsid w:val="00904246"/>
    <w:rsid w:val="00940737"/>
    <w:rsid w:val="0096164A"/>
    <w:rsid w:val="00967888"/>
    <w:rsid w:val="00976652"/>
    <w:rsid w:val="009F710C"/>
    <w:rsid w:val="00AC33CB"/>
    <w:rsid w:val="00D41EFF"/>
    <w:rsid w:val="00D479EE"/>
    <w:rsid w:val="00DA0CA9"/>
    <w:rsid w:val="00DF5A74"/>
    <w:rsid w:val="00E579FC"/>
    <w:rsid w:val="00EB5ECB"/>
    <w:rsid w:val="00EE54EE"/>
    <w:rsid w:val="00EF1A22"/>
    <w:rsid w:val="00F245FD"/>
    <w:rsid w:val="00F3101E"/>
    <w:rsid w:val="00F77450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8DB3"/>
  <w15:chartTrackingRefBased/>
  <w15:docId w15:val="{4A8F256D-081F-4FAC-B4FC-E545247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2E90"/>
    <w:pPr>
      <w:spacing w:after="0" w:line="480" w:lineRule="auto"/>
    </w:pPr>
    <w:rPr>
      <w:rFonts w:ascii="Calibri" w:eastAsia="Calibri" w:hAnsi="Calibri" w:cs="Times New Roman"/>
      <w:color w:val="000000" w:themeColor="text1"/>
      <w:sz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EF8"/>
    <w:pPr>
      <w:keepNext/>
      <w:keepLines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2E9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92E90"/>
    <w:rPr>
      <w:rFonts w:ascii="Times New Roman" w:eastAsia="Times New Roman" w:hAnsi="Times New Roman" w:cs="Times New Roman"/>
      <w:color w:val="000000" w:themeColor="text1"/>
      <w:sz w:val="24"/>
      <w:szCs w:val="24"/>
      <w:lang w:val="en-AU"/>
    </w:rPr>
  </w:style>
  <w:style w:type="character" w:styleId="PageNumber">
    <w:name w:val="page number"/>
    <w:basedOn w:val="DefaultParagraphFont"/>
    <w:rsid w:val="00292E90"/>
  </w:style>
  <w:style w:type="character" w:styleId="LineNumber">
    <w:name w:val="line number"/>
    <w:basedOn w:val="DefaultParagraphFont"/>
    <w:uiPriority w:val="99"/>
    <w:semiHidden/>
    <w:unhideWhenUsed/>
    <w:rsid w:val="00292E90"/>
  </w:style>
  <w:style w:type="character" w:styleId="CommentReference">
    <w:name w:val="annotation reference"/>
    <w:basedOn w:val="DefaultParagraphFont"/>
    <w:uiPriority w:val="99"/>
    <w:semiHidden/>
    <w:unhideWhenUsed/>
    <w:rsid w:val="00961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4A"/>
    <w:rPr>
      <w:rFonts w:ascii="Calibri" w:eastAsia="Calibri" w:hAnsi="Calibri" w:cs="Times New Roman"/>
      <w:color w:val="000000" w:themeColor="text1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4A"/>
    <w:rPr>
      <w:rFonts w:ascii="Calibri" w:eastAsia="Calibri" w:hAnsi="Calibri" w:cs="Times New Roman"/>
      <w:b/>
      <w:bCs/>
      <w:color w:val="000000" w:themeColor="text1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A"/>
    <w:rPr>
      <w:rFonts w:ascii="Segoe UI" w:eastAsia="Calibri" w:hAnsi="Segoe UI" w:cs="Segoe UI"/>
      <w:color w:val="000000" w:themeColor="text1"/>
      <w:sz w:val="18"/>
      <w:szCs w:val="18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91E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191EF8"/>
    <w:rPr>
      <w:rFonts w:asciiTheme="majorHAnsi" w:eastAsiaTheme="majorEastAsia" w:hAnsiTheme="majorHAnsi" w:cstheme="majorBidi"/>
      <w:sz w:val="26"/>
      <w:szCs w:val="2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D35D-1E31-438C-944C-B9F97E3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FalconSurface</dc:creator>
  <cp:keywords/>
  <dc:description/>
  <cp:lastModifiedBy>jfalcon013@gmail.com</cp:lastModifiedBy>
  <cp:revision>13</cp:revision>
  <dcterms:created xsi:type="dcterms:W3CDTF">2017-02-05T01:09:00Z</dcterms:created>
  <dcterms:modified xsi:type="dcterms:W3CDTF">2017-03-22T02:25:00Z</dcterms:modified>
</cp:coreProperties>
</file>